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06" w:rsidRPr="00413F8B" w:rsidRDefault="000E5CE9" w:rsidP="00413F8B">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8E2C06" w:rsidRDefault="008E2C06" w:rsidP="00CE253C">
      <w:pPr>
        <w:jc w:val="center"/>
        <w:rPr>
          <w:b/>
          <w:bCs/>
          <w:lang w:val="en-GB"/>
        </w:rPr>
      </w:pPr>
    </w:p>
    <w:p w:rsidR="008E2C06" w:rsidRPr="008A3F4E" w:rsidRDefault="008E2C06" w:rsidP="00CE253C">
      <w:pPr>
        <w:jc w:val="center"/>
        <w:rPr>
          <w:b/>
          <w:bCs/>
          <w:lang w:val="en-GB"/>
        </w:rPr>
      </w:pPr>
      <w:r w:rsidRPr="008A3F4E">
        <w:rPr>
          <w:b/>
          <w:bCs/>
          <w:lang w:val="en-GB"/>
        </w:rPr>
        <w:t>DECISION</w:t>
      </w:r>
    </w:p>
    <w:p w:rsidR="008E2C06" w:rsidRPr="00044556" w:rsidRDefault="008E2C06" w:rsidP="00CE253C">
      <w:pPr>
        <w:autoSpaceDE w:val="0"/>
        <w:autoSpaceDN w:val="0"/>
        <w:adjustRightInd w:val="0"/>
        <w:jc w:val="both"/>
        <w:rPr>
          <w:b/>
          <w:bCs/>
          <w:lang w:val="en-GB"/>
        </w:rPr>
      </w:pPr>
      <w:r w:rsidRPr="00044556">
        <w:rPr>
          <w:b/>
          <w:bCs/>
          <w:lang w:val="en-GB"/>
        </w:rPr>
        <w:t xml:space="preserve">Date of adoption: </w:t>
      </w:r>
      <w:r w:rsidR="005B7C32">
        <w:rPr>
          <w:b/>
          <w:bCs/>
          <w:lang w:val="en-GB"/>
        </w:rPr>
        <w:t>23</w:t>
      </w:r>
      <w:r w:rsidR="00B21869">
        <w:rPr>
          <w:b/>
          <w:bCs/>
          <w:lang w:val="en-GB"/>
        </w:rPr>
        <w:t xml:space="preserve"> August </w:t>
      </w:r>
      <w:r w:rsidRPr="00044556">
        <w:rPr>
          <w:b/>
          <w:bCs/>
          <w:lang w:val="en-GB"/>
        </w:rPr>
        <w:t>2012</w:t>
      </w:r>
    </w:p>
    <w:p w:rsidR="008E2C06" w:rsidRPr="00044556" w:rsidRDefault="008E2C06" w:rsidP="00CE253C">
      <w:pPr>
        <w:autoSpaceDE w:val="0"/>
        <w:autoSpaceDN w:val="0"/>
        <w:adjustRightInd w:val="0"/>
        <w:jc w:val="both"/>
        <w:rPr>
          <w:b/>
          <w:bCs/>
          <w:lang w:val="en-GB"/>
        </w:rPr>
      </w:pPr>
    </w:p>
    <w:p w:rsidR="008E2C06" w:rsidRPr="00044556" w:rsidRDefault="00EF0384" w:rsidP="00CE253C">
      <w:pPr>
        <w:autoSpaceDE w:val="0"/>
        <w:autoSpaceDN w:val="0"/>
        <w:adjustRightInd w:val="0"/>
        <w:jc w:val="both"/>
        <w:rPr>
          <w:b/>
          <w:bCs/>
          <w:lang w:val="en-GB"/>
        </w:rPr>
      </w:pPr>
      <w:r w:rsidRPr="00044556">
        <w:rPr>
          <w:b/>
          <w:bCs/>
          <w:lang w:val="en-GB"/>
        </w:rPr>
        <w:t xml:space="preserve">Case No. </w:t>
      </w:r>
      <w:r w:rsidR="00B21869">
        <w:rPr>
          <w:b/>
          <w:bCs/>
          <w:lang w:val="en-GB"/>
        </w:rPr>
        <w:t>2</w:t>
      </w:r>
      <w:r w:rsidR="00C70D55">
        <w:rPr>
          <w:b/>
          <w:bCs/>
          <w:lang w:val="en-GB"/>
        </w:rPr>
        <w:t>4</w:t>
      </w:r>
      <w:r w:rsidR="00B21869">
        <w:rPr>
          <w:b/>
          <w:bCs/>
          <w:lang w:val="en-GB"/>
        </w:rPr>
        <w:t>4</w:t>
      </w:r>
      <w:r w:rsidR="008E2C06" w:rsidRPr="00044556">
        <w:rPr>
          <w:b/>
          <w:bCs/>
          <w:lang w:val="en-GB"/>
        </w:rPr>
        <w:t>/09</w:t>
      </w:r>
    </w:p>
    <w:p w:rsidR="008E2C06" w:rsidRPr="00044556" w:rsidRDefault="008E2C06" w:rsidP="00CE253C">
      <w:pPr>
        <w:autoSpaceDE w:val="0"/>
        <w:autoSpaceDN w:val="0"/>
        <w:adjustRightInd w:val="0"/>
        <w:jc w:val="both"/>
        <w:rPr>
          <w:b/>
          <w:bCs/>
          <w:lang w:val="en-GB"/>
        </w:rPr>
      </w:pPr>
    </w:p>
    <w:p w:rsidR="008E2C06" w:rsidRPr="00044556" w:rsidRDefault="00B21869" w:rsidP="00CE253C">
      <w:pPr>
        <w:autoSpaceDE w:val="0"/>
        <w:autoSpaceDN w:val="0"/>
        <w:adjustRightInd w:val="0"/>
        <w:jc w:val="both"/>
        <w:rPr>
          <w:b/>
          <w:bCs/>
          <w:lang w:val="en-GB"/>
        </w:rPr>
      </w:pPr>
      <w:r>
        <w:rPr>
          <w:b/>
          <w:bCs/>
          <w:lang w:val="en-GB"/>
        </w:rPr>
        <w:t>D</w:t>
      </w:r>
      <w:r w:rsidR="00FC1981">
        <w:rPr>
          <w:b/>
          <w:bCs/>
          <w:lang w:val="en-GB"/>
        </w:rPr>
        <w:t>.</w:t>
      </w:r>
      <w:r>
        <w:rPr>
          <w:b/>
          <w:bCs/>
          <w:lang w:val="en-GB"/>
        </w:rPr>
        <w:t xml:space="preserve"> </w:t>
      </w:r>
      <w:r w:rsidR="009937AE">
        <w:rPr>
          <w:b/>
          <w:bCs/>
          <w:lang w:val="en-GB"/>
        </w:rPr>
        <w:t>Š</w:t>
      </w:r>
      <w:r w:rsidR="00FC1981">
        <w:rPr>
          <w:b/>
          <w:bCs/>
          <w:lang w:val="en-GB"/>
        </w:rPr>
        <w:t>.</w:t>
      </w:r>
    </w:p>
    <w:p w:rsidR="008E2C06" w:rsidRPr="00044556" w:rsidRDefault="008E2C06" w:rsidP="00CE253C">
      <w:pPr>
        <w:autoSpaceDE w:val="0"/>
        <w:autoSpaceDN w:val="0"/>
        <w:adjustRightInd w:val="0"/>
        <w:jc w:val="both"/>
        <w:rPr>
          <w:b/>
          <w:bCs/>
          <w:lang w:val="en-GB"/>
        </w:rPr>
      </w:pPr>
    </w:p>
    <w:p w:rsidR="008E2C06" w:rsidRPr="00044556" w:rsidRDefault="008E2C06" w:rsidP="00CE253C">
      <w:pPr>
        <w:autoSpaceDE w:val="0"/>
        <w:autoSpaceDN w:val="0"/>
        <w:adjustRightInd w:val="0"/>
        <w:jc w:val="both"/>
        <w:rPr>
          <w:b/>
          <w:bCs/>
          <w:lang w:val="en-GB"/>
        </w:rPr>
      </w:pPr>
      <w:r w:rsidRPr="00044556">
        <w:rPr>
          <w:b/>
          <w:bCs/>
          <w:lang w:val="en-GB"/>
        </w:rPr>
        <w:t>against</w:t>
      </w:r>
    </w:p>
    <w:p w:rsidR="008E2C06" w:rsidRPr="00044556" w:rsidRDefault="008E2C06" w:rsidP="00CE253C">
      <w:pPr>
        <w:autoSpaceDE w:val="0"/>
        <w:autoSpaceDN w:val="0"/>
        <w:adjustRightInd w:val="0"/>
        <w:jc w:val="both"/>
        <w:rPr>
          <w:b/>
          <w:bCs/>
          <w:lang w:val="en-GB"/>
        </w:rPr>
      </w:pPr>
    </w:p>
    <w:p w:rsidR="008E2C06" w:rsidRPr="00044556" w:rsidRDefault="008E2C06" w:rsidP="00CE253C">
      <w:pPr>
        <w:autoSpaceDE w:val="0"/>
        <w:autoSpaceDN w:val="0"/>
        <w:adjustRightInd w:val="0"/>
        <w:jc w:val="both"/>
        <w:rPr>
          <w:b/>
          <w:bCs/>
          <w:lang w:val="en-GB"/>
        </w:rPr>
      </w:pPr>
      <w:r w:rsidRPr="00044556">
        <w:rPr>
          <w:b/>
          <w:bCs/>
          <w:lang w:val="en-GB"/>
        </w:rPr>
        <w:t xml:space="preserve">UNMIK </w:t>
      </w:r>
    </w:p>
    <w:p w:rsidR="008E2C06" w:rsidRPr="00044556" w:rsidRDefault="008E2C06" w:rsidP="00CE253C">
      <w:pPr>
        <w:autoSpaceDE w:val="0"/>
        <w:autoSpaceDN w:val="0"/>
        <w:adjustRightInd w:val="0"/>
        <w:jc w:val="both"/>
        <w:rPr>
          <w:b/>
          <w:bCs/>
          <w:lang w:val="en-GB"/>
        </w:rPr>
      </w:pPr>
    </w:p>
    <w:p w:rsidR="008E2C06" w:rsidRPr="00044556" w:rsidRDefault="008E2C06" w:rsidP="00CE253C">
      <w:pPr>
        <w:autoSpaceDE w:val="0"/>
        <w:autoSpaceDN w:val="0"/>
        <w:adjustRightInd w:val="0"/>
        <w:jc w:val="both"/>
        <w:rPr>
          <w:b/>
          <w:bCs/>
          <w:lang w:val="en-GB"/>
        </w:rPr>
      </w:pPr>
    </w:p>
    <w:p w:rsidR="008E2C06" w:rsidRPr="00044556" w:rsidRDefault="008E2C06" w:rsidP="00CE253C">
      <w:pPr>
        <w:autoSpaceDE w:val="0"/>
        <w:autoSpaceDN w:val="0"/>
        <w:adjustRightInd w:val="0"/>
        <w:jc w:val="both"/>
        <w:rPr>
          <w:lang w:val="en-GB"/>
        </w:rPr>
      </w:pPr>
      <w:r w:rsidRPr="00044556">
        <w:rPr>
          <w:lang w:val="en-GB"/>
        </w:rPr>
        <w:t xml:space="preserve">The Human Rights Advisory Panel, sitting on </w:t>
      </w:r>
      <w:r w:rsidR="005B7C32">
        <w:rPr>
          <w:lang w:val="en-GB"/>
        </w:rPr>
        <w:t>23 August</w:t>
      </w:r>
      <w:r w:rsidR="00AC5575">
        <w:rPr>
          <w:lang w:val="en-GB"/>
        </w:rPr>
        <w:t xml:space="preserve"> </w:t>
      </w:r>
      <w:r w:rsidRPr="00044556">
        <w:rPr>
          <w:lang w:val="en-GB"/>
        </w:rPr>
        <w:t>2012,</w:t>
      </w:r>
    </w:p>
    <w:p w:rsidR="008E2C06" w:rsidRPr="00044556" w:rsidRDefault="008E2C06" w:rsidP="00CE253C">
      <w:pPr>
        <w:autoSpaceDE w:val="0"/>
        <w:autoSpaceDN w:val="0"/>
        <w:adjustRightInd w:val="0"/>
        <w:jc w:val="both"/>
        <w:rPr>
          <w:lang w:val="en-GB"/>
        </w:rPr>
      </w:pPr>
      <w:r w:rsidRPr="00044556">
        <w:rPr>
          <w:lang w:val="en-GB"/>
        </w:rPr>
        <w:t xml:space="preserve">with the following members </w:t>
      </w:r>
      <w:r w:rsidR="00EF0384" w:rsidRPr="00044556">
        <w:rPr>
          <w:lang w:val="en-GB"/>
        </w:rPr>
        <w:t>present</w:t>
      </w:r>
      <w:r w:rsidRPr="00044556">
        <w:rPr>
          <w:lang w:val="en-GB"/>
        </w:rPr>
        <w:t>:</w:t>
      </w:r>
    </w:p>
    <w:p w:rsidR="008E2C06" w:rsidRPr="00044556" w:rsidRDefault="008E2C06" w:rsidP="00CE253C">
      <w:pPr>
        <w:autoSpaceDE w:val="0"/>
        <w:autoSpaceDN w:val="0"/>
        <w:adjustRightInd w:val="0"/>
        <w:jc w:val="both"/>
        <w:rPr>
          <w:lang w:val="en-GB"/>
        </w:rPr>
      </w:pPr>
    </w:p>
    <w:p w:rsidR="008E2C06" w:rsidRPr="00044556" w:rsidRDefault="008E2C06" w:rsidP="00CE253C">
      <w:pPr>
        <w:autoSpaceDE w:val="0"/>
        <w:autoSpaceDN w:val="0"/>
        <w:adjustRightInd w:val="0"/>
        <w:jc w:val="both"/>
        <w:rPr>
          <w:lang w:val="en-GB"/>
        </w:rPr>
      </w:pPr>
      <w:r w:rsidRPr="00044556">
        <w:rPr>
          <w:lang w:val="en-GB"/>
        </w:rPr>
        <w:t>Mr Marek NOWICKI, Presiding Member</w:t>
      </w:r>
    </w:p>
    <w:p w:rsidR="008E2C06" w:rsidRPr="00044556" w:rsidRDefault="008E2C06" w:rsidP="00CE253C">
      <w:pPr>
        <w:autoSpaceDE w:val="0"/>
        <w:autoSpaceDN w:val="0"/>
        <w:adjustRightInd w:val="0"/>
        <w:jc w:val="both"/>
        <w:rPr>
          <w:lang w:val="en-GB"/>
        </w:rPr>
      </w:pPr>
      <w:r w:rsidRPr="00044556">
        <w:rPr>
          <w:lang w:val="en-GB"/>
        </w:rPr>
        <w:t>Mr Paul LEMMENS</w:t>
      </w:r>
    </w:p>
    <w:p w:rsidR="008E2C06" w:rsidRPr="00044556" w:rsidRDefault="008E2C06" w:rsidP="00CE253C">
      <w:pPr>
        <w:autoSpaceDE w:val="0"/>
        <w:autoSpaceDN w:val="0"/>
        <w:adjustRightInd w:val="0"/>
        <w:jc w:val="both"/>
        <w:rPr>
          <w:lang w:val="en-GB"/>
        </w:rPr>
      </w:pPr>
      <w:r w:rsidRPr="00044556">
        <w:rPr>
          <w:lang w:val="en-GB"/>
        </w:rPr>
        <w:t>Ms Christine CHINKIN</w:t>
      </w:r>
    </w:p>
    <w:p w:rsidR="008E2C06" w:rsidRPr="00044556" w:rsidRDefault="008E2C06" w:rsidP="00CE253C">
      <w:pPr>
        <w:autoSpaceDE w:val="0"/>
        <w:autoSpaceDN w:val="0"/>
        <w:adjustRightInd w:val="0"/>
        <w:jc w:val="both"/>
        <w:rPr>
          <w:lang w:val="en-GB"/>
        </w:rPr>
      </w:pPr>
    </w:p>
    <w:p w:rsidR="008E2C06" w:rsidRPr="00044556" w:rsidRDefault="008E2C06" w:rsidP="00CE253C">
      <w:pPr>
        <w:autoSpaceDE w:val="0"/>
        <w:autoSpaceDN w:val="0"/>
        <w:adjustRightInd w:val="0"/>
        <w:jc w:val="both"/>
        <w:rPr>
          <w:lang w:val="en-GB"/>
        </w:rPr>
      </w:pPr>
      <w:r w:rsidRPr="00044556">
        <w:rPr>
          <w:lang w:val="en-GB"/>
        </w:rPr>
        <w:t>Assisted by</w:t>
      </w:r>
    </w:p>
    <w:p w:rsidR="008E2C06" w:rsidRPr="00044556" w:rsidRDefault="008E2C06" w:rsidP="00CE253C">
      <w:pPr>
        <w:autoSpaceDE w:val="0"/>
        <w:autoSpaceDN w:val="0"/>
        <w:adjustRightInd w:val="0"/>
        <w:jc w:val="both"/>
        <w:rPr>
          <w:lang w:val="en-GB"/>
        </w:rPr>
      </w:pPr>
      <w:r w:rsidRPr="00044556">
        <w:rPr>
          <w:lang w:val="en-GB"/>
        </w:rPr>
        <w:t>Mr Andrey ANTONOV, Executive Officer</w:t>
      </w:r>
    </w:p>
    <w:p w:rsidR="008E2C06" w:rsidRPr="00044556" w:rsidRDefault="008E2C06" w:rsidP="00CE253C">
      <w:pPr>
        <w:autoSpaceDE w:val="0"/>
        <w:autoSpaceDN w:val="0"/>
        <w:adjustRightInd w:val="0"/>
        <w:jc w:val="both"/>
        <w:rPr>
          <w:lang w:val="en-GB"/>
        </w:rPr>
      </w:pPr>
    </w:p>
    <w:p w:rsidR="008E2C06" w:rsidRPr="00044556" w:rsidRDefault="008E2C06" w:rsidP="00E078D1">
      <w:pPr>
        <w:autoSpaceDE w:val="0"/>
        <w:autoSpaceDN w:val="0"/>
        <w:adjustRightInd w:val="0"/>
        <w:jc w:val="both"/>
        <w:rPr>
          <w:lang w:val="en-GB"/>
        </w:rPr>
      </w:pPr>
      <w:r w:rsidRPr="00044556">
        <w:rPr>
          <w:lang w:val="en-GB"/>
        </w:rPr>
        <w:t>Having considered the aforementioned complaint, introduced pursuant to Section 1.2 of UNMIK Regulation No. 2006/12 of 23 March 2006 on the Establishment of the Human Rights Advisory Panel,</w:t>
      </w:r>
    </w:p>
    <w:p w:rsidR="008E2C06" w:rsidRPr="00044556" w:rsidRDefault="008E2C06" w:rsidP="00E078D1">
      <w:pPr>
        <w:autoSpaceDE w:val="0"/>
        <w:autoSpaceDN w:val="0"/>
        <w:adjustRightInd w:val="0"/>
        <w:jc w:val="both"/>
        <w:rPr>
          <w:lang w:val="en-GB"/>
        </w:rPr>
      </w:pPr>
    </w:p>
    <w:p w:rsidR="00111EB2" w:rsidRPr="00044556" w:rsidRDefault="00EF0384" w:rsidP="00111EB2">
      <w:pPr>
        <w:autoSpaceDE w:val="0"/>
        <w:autoSpaceDN w:val="0"/>
        <w:adjustRightInd w:val="0"/>
        <w:jc w:val="both"/>
        <w:rPr>
          <w:lang w:val="en-GB"/>
        </w:rPr>
      </w:pPr>
      <w:r w:rsidRPr="00044556">
        <w:rPr>
          <w:lang w:val="en-GB"/>
        </w:rPr>
        <w:t xml:space="preserve">Having deliberated, </w:t>
      </w:r>
      <w:r w:rsidR="00111EB2" w:rsidRPr="00044556">
        <w:rPr>
          <w:lang w:val="en-GB"/>
        </w:rPr>
        <w:t>decides as follows:</w:t>
      </w:r>
    </w:p>
    <w:p w:rsidR="008E2C06" w:rsidRPr="00044556" w:rsidRDefault="008E2C06" w:rsidP="00F75E5F">
      <w:pPr>
        <w:autoSpaceDE w:val="0"/>
        <w:autoSpaceDN w:val="0"/>
        <w:adjustRightInd w:val="0"/>
        <w:jc w:val="both"/>
        <w:rPr>
          <w:lang w:val="en-GB"/>
        </w:rPr>
      </w:pPr>
    </w:p>
    <w:p w:rsidR="008E2C06" w:rsidRPr="00044556" w:rsidRDefault="008E2C06" w:rsidP="002C6DFA">
      <w:pPr>
        <w:jc w:val="both"/>
        <w:rPr>
          <w:b/>
          <w:lang w:val="en-GB"/>
        </w:rPr>
      </w:pPr>
    </w:p>
    <w:p w:rsidR="008E2C06" w:rsidRPr="00044556" w:rsidRDefault="008E2C06" w:rsidP="002C6DFA">
      <w:pPr>
        <w:jc w:val="both"/>
        <w:rPr>
          <w:b/>
          <w:lang w:val="en-GB"/>
        </w:rPr>
      </w:pPr>
      <w:r w:rsidRPr="00044556">
        <w:rPr>
          <w:b/>
          <w:lang w:val="en-GB"/>
        </w:rPr>
        <w:t>I. PROCEEDINGS BEFORE THE PANEL</w:t>
      </w:r>
    </w:p>
    <w:p w:rsidR="008E2C06" w:rsidRPr="00044556" w:rsidRDefault="008E2C06" w:rsidP="002C6DFA">
      <w:pPr>
        <w:jc w:val="both"/>
        <w:rPr>
          <w:lang w:val="en-GB"/>
        </w:rPr>
      </w:pPr>
    </w:p>
    <w:p w:rsidR="008E2C06" w:rsidRPr="00044556" w:rsidRDefault="008E2C06" w:rsidP="00616830">
      <w:pPr>
        <w:pStyle w:val="Default"/>
        <w:numPr>
          <w:ilvl w:val="0"/>
          <w:numId w:val="16"/>
        </w:numPr>
        <w:jc w:val="both"/>
        <w:rPr>
          <w:lang w:val="en-GB"/>
        </w:rPr>
      </w:pPr>
      <w:r w:rsidRPr="00044556">
        <w:rPr>
          <w:lang w:val="en-GB"/>
        </w:rPr>
        <w:t>The complaint</w:t>
      </w:r>
      <w:r w:rsidR="00EF0384" w:rsidRPr="00044556">
        <w:rPr>
          <w:lang w:val="en-GB"/>
        </w:rPr>
        <w:t xml:space="preserve"> was introduced on </w:t>
      </w:r>
      <w:r w:rsidR="00B21869">
        <w:rPr>
          <w:lang w:val="en-GB"/>
        </w:rPr>
        <w:t>1</w:t>
      </w:r>
      <w:r w:rsidR="00EF0384" w:rsidRPr="00044556">
        <w:rPr>
          <w:lang w:val="en-GB"/>
        </w:rPr>
        <w:t>3</w:t>
      </w:r>
      <w:r w:rsidRPr="00044556">
        <w:rPr>
          <w:lang w:val="en-GB"/>
        </w:rPr>
        <w:t xml:space="preserve"> April 2009 and registered on 30 April 2009. </w:t>
      </w:r>
    </w:p>
    <w:p w:rsidR="008E2C06" w:rsidRPr="00044556" w:rsidRDefault="008E2C06" w:rsidP="00616830">
      <w:pPr>
        <w:pStyle w:val="Default"/>
        <w:ind w:left="360"/>
        <w:jc w:val="both"/>
        <w:rPr>
          <w:lang w:val="en-GB"/>
        </w:rPr>
      </w:pPr>
    </w:p>
    <w:p w:rsidR="008E2C06" w:rsidRPr="00044556" w:rsidRDefault="008E2C06" w:rsidP="00FF3A39">
      <w:pPr>
        <w:pStyle w:val="Default"/>
        <w:numPr>
          <w:ilvl w:val="0"/>
          <w:numId w:val="16"/>
        </w:numPr>
        <w:jc w:val="both"/>
        <w:rPr>
          <w:lang w:val="en-GB"/>
        </w:rPr>
      </w:pPr>
      <w:r w:rsidRPr="00044556">
        <w:rPr>
          <w:lang w:val="en-GB"/>
        </w:rPr>
        <w:t xml:space="preserve">On </w:t>
      </w:r>
      <w:r w:rsidR="00C4656D" w:rsidRPr="00044556">
        <w:rPr>
          <w:lang w:val="en-GB"/>
        </w:rPr>
        <w:t>23</w:t>
      </w:r>
      <w:r w:rsidR="00B21869">
        <w:rPr>
          <w:lang w:val="en-GB"/>
        </w:rPr>
        <w:t xml:space="preserve"> December 2009 and 29 September</w:t>
      </w:r>
      <w:r w:rsidR="00C4656D" w:rsidRPr="00044556">
        <w:rPr>
          <w:lang w:val="en-GB"/>
        </w:rPr>
        <w:t xml:space="preserve"> 2010</w:t>
      </w:r>
      <w:r w:rsidR="00FC1981">
        <w:rPr>
          <w:lang w:val="en-GB"/>
        </w:rPr>
        <w:t>,</w:t>
      </w:r>
      <w:r w:rsidR="00C4656D" w:rsidRPr="00044556">
        <w:rPr>
          <w:lang w:val="en-GB"/>
        </w:rPr>
        <w:t xml:space="preserve"> </w:t>
      </w:r>
      <w:r w:rsidRPr="00044556">
        <w:rPr>
          <w:lang w:val="en-GB"/>
        </w:rPr>
        <w:t>the Panel requested further information from the complainant. No response was received.</w:t>
      </w:r>
    </w:p>
    <w:p w:rsidR="008E2C06" w:rsidRPr="00044556" w:rsidRDefault="008E2C06" w:rsidP="00C52F1B">
      <w:pPr>
        <w:pStyle w:val="ListParagraph"/>
      </w:pPr>
    </w:p>
    <w:p w:rsidR="008E2C06" w:rsidRPr="005B7C32" w:rsidRDefault="00C4656D" w:rsidP="00F75E5F">
      <w:pPr>
        <w:pStyle w:val="Default"/>
        <w:numPr>
          <w:ilvl w:val="0"/>
          <w:numId w:val="16"/>
        </w:numPr>
        <w:jc w:val="both"/>
        <w:rPr>
          <w:lang w:val="en-GB"/>
        </w:rPr>
      </w:pPr>
      <w:r w:rsidRPr="005B7C32">
        <w:rPr>
          <w:lang w:val="en-GB"/>
        </w:rPr>
        <w:t xml:space="preserve">On </w:t>
      </w:r>
      <w:r w:rsidR="00C70D55" w:rsidRPr="005B7C32">
        <w:rPr>
          <w:lang w:val="en-GB"/>
        </w:rPr>
        <w:t>29 March</w:t>
      </w:r>
      <w:r w:rsidR="008E2C06" w:rsidRPr="005B7C32">
        <w:rPr>
          <w:lang w:val="en-GB"/>
        </w:rPr>
        <w:t xml:space="preserve"> 2012, the Panel communicated the case to the Special Representative of the Secretary-General (SRSG) for UNMIK’s comments on the admissibility of the case.</w:t>
      </w:r>
      <w:r w:rsidR="005B7C32">
        <w:rPr>
          <w:lang w:val="en-GB"/>
        </w:rPr>
        <w:t xml:space="preserve"> </w:t>
      </w:r>
      <w:r w:rsidR="008E2C06" w:rsidRPr="005B7C32">
        <w:rPr>
          <w:lang w:val="en-GB"/>
        </w:rPr>
        <w:t xml:space="preserve">On </w:t>
      </w:r>
      <w:r w:rsidR="00B21869" w:rsidRPr="005B7C32">
        <w:rPr>
          <w:lang w:val="en-GB"/>
        </w:rPr>
        <w:t>4</w:t>
      </w:r>
      <w:r w:rsidR="008E2C06" w:rsidRPr="005B7C32">
        <w:rPr>
          <w:lang w:val="en-GB"/>
        </w:rPr>
        <w:t xml:space="preserve"> </w:t>
      </w:r>
      <w:r w:rsidR="00B21869" w:rsidRPr="005B7C32">
        <w:rPr>
          <w:lang w:val="en-GB"/>
        </w:rPr>
        <w:t>May</w:t>
      </w:r>
      <w:r w:rsidR="008E2C06" w:rsidRPr="005B7C32">
        <w:rPr>
          <w:lang w:val="en-GB"/>
        </w:rPr>
        <w:t xml:space="preserve"> 2012, </w:t>
      </w:r>
      <w:r w:rsidR="00FC1981" w:rsidRPr="005B7C32">
        <w:rPr>
          <w:lang w:val="en-GB"/>
        </w:rPr>
        <w:t>the SRSG submitted UNMIK’s</w:t>
      </w:r>
      <w:r w:rsidR="008E2C06" w:rsidRPr="005B7C32">
        <w:rPr>
          <w:lang w:val="en-GB"/>
        </w:rPr>
        <w:t xml:space="preserve"> response.</w:t>
      </w:r>
    </w:p>
    <w:p w:rsidR="008E2C06" w:rsidRPr="00044556" w:rsidRDefault="008E2C06" w:rsidP="00F75E5F">
      <w:pPr>
        <w:jc w:val="both"/>
        <w:rPr>
          <w:b/>
          <w:lang w:val="en-GB"/>
        </w:rPr>
      </w:pPr>
    </w:p>
    <w:p w:rsidR="008E2C06" w:rsidRPr="00044556" w:rsidRDefault="008E2C06" w:rsidP="00F75E5F">
      <w:pPr>
        <w:jc w:val="both"/>
        <w:rPr>
          <w:b/>
          <w:lang w:val="en-GB"/>
        </w:rPr>
      </w:pPr>
      <w:r w:rsidRPr="00044556">
        <w:rPr>
          <w:b/>
          <w:lang w:val="en-GB"/>
        </w:rPr>
        <w:t>II. THE FACTS</w:t>
      </w:r>
    </w:p>
    <w:p w:rsidR="008E2C06" w:rsidRPr="00044556" w:rsidRDefault="008E2C06" w:rsidP="002B706B">
      <w:pPr>
        <w:jc w:val="both"/>
        <w:rPr>
          <w:lang w:val="en-GB"/>
        </w:rPr>
      </w:pPr>
    </w:p>
    <w:p w:rsidR="008E2C06" w:rsidRPr="00044556" w:rsidRDefault="00340E1D" w:rsidP="00E338EF">
      <w:pPr>
        <w:numPr>
          <w:ilvl w:val="0"/>
          <w:numId w:val="16"/>
        </w:numPr>
        <w:jc w:val="both"/>
        <w:rPr>
          <w:lang w:val="en-GB"/>
        </w:rPr>
      </w:pPr>
      <w:r w:rsidRPr="00044556">
        <w:rPr>
          <w:lang w:val="en-GB"/>
        </w:rPr>
        <w:t xml:space="preserve">The complainant is the </w:t>
      </w:r>
      <w:r w:rsidR="001F49CE">
        <w:rPr>
          <w:lang w:val="en-GB"/>
        </w:rPr>
        <w:t>son</w:t>
      </w:r>
      <w:r w:rsidRPr="00044556">
        <w:rPr>
          <w:lang w:val="en-GB"/>
        </w:rPr>
        <w:t xml:space="preserve"> of </w:t>
      </w:r>
      <w:r w:rsidR="009C7074">
        <w:rPr>
          <w:lang w:val="en-GB"/>
        </w:rPr>
        <w:t>Mr</w:t>
      </w:r>
      <w:r w:rsidRPr="00044556">
        <w:rPr>
          <w:lang w:val="en-GB"/>
        </w:rPr>
        <w:t xml:space="preserve"> </w:t>
      </w:r>
      <w:r w:rsidR="001F49CE">
        <w:rPr>
          <w:lang w:val="en-GB"/>
        </w:rPr>
        <w:t>S</w:t>
      </w:r>
      <w:r w:rsidR="00FC1981">
        <w:rPr>
          <w:lang w:val="en-GB"/>
        </w:rPr>
        <w:t>.</w:t>
      </w:r>
      <w:r w:rsidR="001F49CE">
        <w:rPr>
          <w:lang w:val="en-GB"/>
        </w:rPr>
        <w:t>Š</w:t>
      </w:r>
      <w:r w:rsidR="008E2C06" w:rsidRPr="00044556">
        <w:rPr>
          <w:lang w:val="en-GB"/>
        </w:rPr>
        <w:t xml:space="preserve">. </w:t>
      </w:r>
    </w:p>
    <w:p w:rsidR="008E2C06" w:rsidRPr="00044556" w:rsidRDefault="008E2C06" w:rsidP="007B5BB0">
      <w:pPr>
        <w:ind w:left="360"/>
        <w:jc w:val="both"/>
        <w:rPr>
          <w:lang w:val="en-GB"/>
        </w:rPr>
      </w:pPr>
    </w:p>
    <w:p w:rsidR="00340E1D" w:rsidRPr="00044556" w:rsidRDefault="00340E1D" w:rsidP="007B5BB0">
      <w:pPr>
        <w:numPr>
          <w:ilvl w:val="0"/>
          <w:numId w:val="16"/>
        </w:numPr>
        <w:jc w:val="both"/>
      </w:pPr>
      <w:r w:rsidRPr="00044556">
        <w:rPr>
          <w:lang w:val="en-GB"/>
        </w:rPr>
        <w:lastRenderedPageBreak/>
        <w:t>The complainant states that</w:t>
      </w:r>
      <w:r w:rsidR="00C4656D" w:rsidRPr="00044556">
        <w:rPr>
          <w:lang w:val="en-GB"/>
        </w:rPr>
        <w:t xml:space="preserve"> </w:t>
      </w:r>
      <w:r w:rsidRPr="00044556">
        <w:rPr>
          <w:lang w:val="en-GB"/>
        </w:rPr>
        <w:t xml:space="preserve">on </w:t>
      </w:r>
      <w:r w:rsidR="001F49CE">
        <w:rPr>
          <w:lang w:val="en-GB"/>
        </w:rPr>
        <w:t>27</w:t>
      </w:r>
      <w:r w:rsidRPr="00044556">
        <w:rPr>
          <w:lang w:val="en-GB"/>
        </w:rPr>
        <w:t xml:space="preserve"> June 1999</w:t>
      </w:r>
      <w:r w:rsidR="00C4656D" w:rsidRPr="00044556">
        <w:rPr>
          <w:lang w:val="en-GB"/>
        </w:rPr>
        <w:t xml:space="preserve">, </w:t>
      </w:r>
      <w:r w:rsidR="009C7074">
        <w:rPr>
          <w:lang w:val="en-GB"/>
        </w:rPr>
        <w:t>Mr</w:t>
      </w:r>
      <w:r w:rsidR="001F49CE" w:rsidRPr="00044556">
        <w:rPr>
          <w:lang w:val="en-GB"/>
        </w:rPr>
        <w:t xml:space="preserve"> </w:t>
      </w:r>
      <w:r w:rsidR="00FC1981">
        <w:rPr>
          <w:lang w:val="en-GB"/>
        </w:rPr>
        <w:t>S.Š</w:t>
      </w:r>
      <w:r w:rsidR="00185DB5">
        <w:rPr>
          <w:lang w:val="en-GB"/>
        </w:rPr>
        <w:t>.</w:t>
      </w:r>
      <w:r w:rsidR="001F49CE">
        <w:rPr>
          <w:lang w:val="en-GB"/>
        </w:rPr>
        <w:t xml:space="preserve"> </w:t>
      </w:r>
      <w:r w:rsidR="008E2C06" w:rsidRPr="00044556">
        <w:rPr>
          <w:lang w:val="en-GB"/>
        </w:rPr>
        <w:t>was abducted</w:t>
      </w:r>
      <w:r w:rsidR="00C4656D" w:rsidRPr="00044556">
        <w:rPr>
          <w:lang w:val="en-GB"/>
        </w:rPr>
        <w:t xml:space="preserve"> from </w:t>
      </w:r>
      <w:r w:rsidR="00FC1981">
        <w:rPr>
          <w:lang w:val="en-GB"/>
        </w:rPr>
        <w:t>Prishtinë/</w:t>
      </w:r>
      <w:r w:rsidR="001F49CE">
        <w:rPr>
          <w:lang w:val="en-GB"/>
        </w:rPr>
        <w:t>Priština</w:t>
      </w:r>
      <w:r w:rsidR="00FC1981">
        <w:rPr>
          <w:lang w:val="en-GB"/>
        </w:rPr>
        <w:t xml:space="preserve"> by members of the Kosovo Liberation Army (KLA)</w:t>
      </w:r>
      <w:r w:rsidR="00C4656D" w:rsidRPr="00044556">
        <w:rPr>
          <w:lang w:val="en-GB"/>
        </w:rPr>
        <w:t>.</w:t>
      </w:r>
      <w:r w:rsidRPr="00044556">
        <w:rPr>
          <w:lang w:val="en-GB"/>
        </w:rPr>
        <w:t xml:space="preserve"> </w:t>
      </w:r>
    </w:p>
    <w:p w:rsidR="008E2C06" w:rsidRPr="00044556" w:rsidRDefault="00340E1D" w:rsidP="00340E1D">
      <w:pPr>
        <w:ind w:left="360"/>
        <w:jc w:val="both"/>
      </w:pPr>
      <w:r w:rsidRPr="00044556">
        <w:t xml:space="preserve"> </w:t>
      </w:r>
    </w:p>
    <w:p w:rsidR="00185DB5" w:rsidRPr="00185DB5" w:rsidRDefault="00185DB5" w:rsidP="00340E1D">
      <w:pPr>
        <w:numPr>
          <w:ilvl w:val="0"/>
          <w:numId w:val="16"/>
        </w:numPr>
        <w:jc w:val="both"/>
      </w:pPr>
      <w:r>
        <w:rPr>
          <w:lang w:val="en-GB"/>
        </w:rPr>
        <w:t xml:space="preserve">The </w:t>
      </w:r>
      <w:r w:rsidR="005B7C32">
        <w:rPr>
          <w:lang w:val="en-GB"/>
        </w:rPr>
        <w:t>International Committee of the Red Cross</w:t>
      </w:r>
      <w:r>
        <w:rPr>
          <w:lang w:val="en-GB"/>
        </w:rPr>
        <w:t xml:space="preserve"> published the name of Mr S.Š. in its publication “Persons missing in relation to the events in Kosovo”, </w:t>
      </w:r>
      <w:r w:rsidR="004D5BFB">
        <w:rPr>
          <w:lang w:val="en-GB"/>
        </w:rPr>
        <w:t>(</w:t>
      </w:r>
      <w:r>
        <w:rPr>
          <w:lang w:val="en-GB"/>
        </w:rPr>
        <w:t>3</w:t>
      </w:r>
      <w:r w:rsidRPr="00185DB5">
        <w:rPr>
          <w:vertAlign w:val="superscript"/>
          <w:lang w:val="en-GB"/>
        </w:rPr>
        <w:t>rd</w:t>
      </w:r>
      <w:r>
        <w:rPr>
          <w:lang w:val="en-GB"/>
        </w:rPr>
        <w:t xml:space="preserve"> edition</w:t>
      </w:r>
      <w:r w:rsidR="004D5BFB">
        <w:rPr>
          <w:lang w:val="en-GB"/>
        </w:rPr>
        <w:t xml:space="preserve">, </w:t>
      </w:r>
      <w:r>
        <w:rPr>
          <w:lang w:val="en-GB"/>
        </w:rPr>
        <w:t>February 2004). Additionally his name appears also in the database</w:t>
      </w:r>
      <w:r w:rsidR="005B7C32">
        <w:rPr>
          <w:lang w:val="en-GB"/>
        </w:rPr>
        <w:t>s</w:t>
      </w:r>
      <w:r>
        <w:rPr>
          <w:lang w:val="en-GB"/>
        </w:rPr>
        <w:t xml:space="preserve"> compiled by the UNMIK Office on Missing Persons and Forensics </w:t>
      </w:r>
      <w:r w:rsidR="001E2C52">
        <w:rPr>
          <w:lang w:val="en-GB"/>
        </w:rPr>
        <w:t xml:space="preserve">and </w:t>
      </w:r>
      <w:r w:rsidR="005B7C32">
        <w:rPr>
          <w:lang w:val="en-GB"/>
        </w:rPr>
        <w:t xml:space="preserve">the </w:t>
      </w:r>
      <w:r w:rsidR="001E2C52">
        <w:rPr>
          <w:lang w:val="en-GB"/>
        </w:rPr>
        <w:t>I</w:t>
      </w:r>
      <w:r w:rsidR="004D5BFB">
        <w:rPr>
          <w:lang w:val="en-GB"/>
        </w:rPr>
        <w:t xml:space="preserve">nternational </w:t>
      </w:r>
      <w:r w:rsidR="001E2C52">
        <w:rPr>
          <w:lang w:val="en-GB"/>
        </w:rPr>
        <w:t>C</w:t>
      </w:r>
      <w:r w:rsidR="004D5BFB">
        <w:rPr>
          <w:lang w:val="en-GB"/>
        </w:rPr>
        <w:t xml:space="preserve">ommission on </w:t>
      </w:r>
      <w:r w:rsidR="001E2C52">
        <w:rPr>
          <w:lang w:val="en-GB"/>
        </w:rPr>
        <w:t>M</w:t>
      </w:r>
      <w:r w:rsidR="004D5BFB">
        <w:rPr>
          <w:lang w:val="en-GB"/>
        </w:rPr>
        <w:t xml:space="preserve">issing </w:t>
      </w:r>
      <w:r w:rsidR="001E2C52">
        <w:rPr>
          <w:lang w:val="en-GB"/>
        </w:rPr>
        <w:t>P</w:t>
      </w:r>
      <w:r w:rsidR="004D5BFB">
        <w:rPr>
          <w:lang w:val="en-GB"/>
        </w:rPr>
        <w:t>ersons</w:t>
      </w:r>
      <w:r>
        <w:rPr>
          <w:lang w:val="en-GB"/>
        </w:rPr>
        <w:t>.</w:t>
      </w:r>
    </w:p>
    <w:p w:rsidR="00185DB5" w:rsidRDefault="00185DB5" w:rsidP="00185DB5">
      <w:pPr>
        <w:pStyle w:val="ListParagraph"/>
      </w:pPr>
    </w:p>
    <w:p w:rsidR="001F49CE" w:rsidRPr="001F49CE" w:rsidRDefault="004D5BFB" w:rsidP="00340E1D">
      <w:pPr>
        <w:numPr>
          <w:ilvl w:val="0"/>
          <w:numId w:val="16"/>
        </w:numPr>
        <w:jc w:val="both"/>
      </w:pPr>
      <w:r>
        <w:rPr>
          <w:lang w:val="en-GB"/>
        </w:rPr>
        <w:t>The</w:t>
      </w:r>
      <w:r w:rsidR="001E2C52">
        <w:rPr>
          <w:lang w:val="en-GB"/>
        </w:rPr>
        <w:t xml:space="preserve"> mo</w:t>
      </w:r>
      <w:r w:rsidR="00FC1981">
        <w:rPr>
          <w:lang w:val="en-GB"/>
        </w:rPr>
        <w:t>rtal remains</w:t>
      </w:r>
      <w:r w:rsidR="00185DB5">
        <w:rPr>
          <w:lang w:val="en-GB"/>
        </w:rPr>
        <w:t xml:space="preserve"> </w:t>
      </w:r>
      <w:r>
        <w:rPr>
          <w:lang w:val="en-GB"/>
        </w:rPr>
        <w:t>of Mr</w:t>
      </w:r>
      <w:r w:rsidRPr="00044556">
        <w:rPr>
          <w:lang w:val="en-GB"/>
        </w:rPr>
        <w:t xml:space="preserve"> </w:t>
      </w:r>
      <w:r>
        <w:rPr>
          <w:lang w:val="en-GB"/>
        </w:rPr>
        <w:t xml:space="preserve">S.Š </w:t>
      </w:r>
      <w:r w:rsidR="00FC1981">
        <w:rPr>
          <w:lang w:val="en-GB"/>
        </w:rPr>
        <w:t>were exhumed on 4 August 2000</w:t>
      </w:r>
      <w:r w:rsidR="005B7C32">
        <w:rPr>
          <w:lang w:val="en-GB"/>
        </w:rPr>
        <w:t>, idnetified</w:t>
      </w:r>
      <w:r w:rsidR="00FC1981">
        <w:rPr>
          <w:lang w:val="en-GB"/>
        </w:rPr>
        <w:t xml:space="preserve"> on 14 June 2003</w:t>
      </w:r>
      <w:r w:rsidR="005B7C32">
        <w:rPr>
          <w:lang w:val="en-GB"/>
        </w:rPr>
        <w:t xml:space="preserve"> and </w:t>
      </w:r>
      <w:r w:rsidR="00FC1981">
        <w:rPr>
          <w:lang w:val="en-GB"/>
        </w:rPr>
        <w:t>handed over to his family on 18 August 2003.</w:t>
      </w:r>
      <w:r w:rsidR="001E2C52">
        <w:rPr>
          <w:lang w:val="en-GB"/>
        </w:rPr>
        <w:t xml:space="preserve"> A copy of the death certificate prepared </w:t>
      </w:r>
      <w:r w:rsidR="00B662D2">
        <w:rPr>
          <w:lang w:val="en-GB"/>
        </w:rPr>
        <w:t xml:space="preserve">by the Office of the Medical Examiner of the Department of Justice states that the cause of death of Mr S.Š. was gunshot wounds to the head and </w:t>
      </w:r>
      <w:r w:rsidR="005B7C32">
        <w:rPr>
          <w:lang w:val="en-GB"/>
        </w:rPr>
        <w:t xml:space="preserve">the </w:t>
      </w:r>
      <w:r w:rsidR="00B662D2">
        <w:rPr>
          <w:lang w:val="en-GB"/>
        </w:rPr>
        <w:t>chest.</w:t>
      </w:r>
    </w:p>
    <w:p w:rsidR="008E2C06" w:rsidRPr="00044556" w:rsidRDefault="001F49CE" w:rsidP="001F49CE">
      <w:pPr>
        <w:jc w:val="both"/>
      </w:pPr>
      <w:r w:rsidRPr="00044556">
        <w:t xml:space="preserve"> </w:t>
      </w:r>
    </w:p>
    <w:p w:rsidR="008E2C06" w:rsidRPr="00044556" w:rsidRDefault="008E2C06" w:rsidP="00C15462">
      <w:pPr>
        <w:numPr>
          <w:ilvl w:val="0"/>
          <w:numId w:val="16"/>
        </w:numPr>
        <w:jc w:val="both"/>
        <w:rPr>
          <w:lang w:val="en-GB"/>
        </w:rPr>
      </w:pPr>
      <w:r w:rsidRPr="00044556">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8E2C06" w:rsidRPr="00044556" w:rsidRDefault="008E2C06" w:rsidP="00625B9F">
      <w:pPr>
        <w:jc w:val="both"/>
        <w:rPr>
          <w:lang w:val="en-GB"/>
        </w:rPr>
      </w:pPr>
    </w:p>
    <w:p w:rsidR="008E2C06" w:rsidRPr="00044556" w:rsidRDefault="008E2C06" w:rsidP="00625B9F">
      <w:pPr>
        <w:jc w:val="both"/>
        <w:rPr>
          <w:b/>
          <w:lang w:val="en-GB"/>
        </w:rPr>
      </w:pPr>
    </w:p>
    <w:p w:rsidR="008E2C06" w:rsidRPr="00044556" w:rsidRDefault="008E2C06" w:rsidP="00625B9F">
      <w:pPr>
        <w:autoSpaceDE w:val="0"/>
        <w:autoSpaceDN w:val="0"/>
        <w:adjustRightInd w:val="0"/>
        <w:ind w:left="360" w:hanging="360"/>
        <w:jc w:val="both"/>
        <w:outlineLvl w:val="0"/>
        <w:rPr>
          <w:b/>
          <w:bCs/>
          <w:lang w:val="en-GB" w:eastAsia="en-US"/>
        </w:rPr>
      </w:pPr>
      <w:r w:rsidRPr="00044556">
        <w:rPr>
          <w:b/>
          <w:bCs/>
          <w:lang w:val="en-GB" w:eastAsia="en-US"/>
        </w:rPr>
        <w:t xml:space="preserve">III. </w:t>
      </w:r>
      <w:r w:rsidR="00ED2013" w:rsidRPr="00044556">
        <w:rPr>
          <w:b/>
          <w:bCs/>
          <w:lang w:val="en-GB" w:eastAsia="en-US"/>
        </w:rPr>
        <w:t xml:space="preserve">THE </w:t>
      </w:r>
      <w:r w:rsidRPr="00044556">
        <w:rPr>
          <w:b/>
          <w:bCs/>
          <w:lang w:val="en-GB" w:eastAsia="en-US"/>
        </w:rPr>
        <w:t>COMPLAINT</w:t>
      </w:r>
    </w:p>
    <w:p w:rsidR="008E2C06" w:rsidRPr="00044556" w:rsidRDefault="008E2C06" w:rsidP="00625B9F">
      <w:pPr>
        <w:jc w:val="both"/>
        <w:rPr>
          <w:lang w:val="en-GB"/>
        </w:rPr>
      </w:pPr>
    </w:p>
    <w:p w:rsidR="008E2C06" w:rsidRPr="00044556" w:rsidRDefault="008E2C06" w:rsidP="00E078D1">
      <w:pPr>
        <w:pStyle w:val="Default"/>
        <w:numPr>
          <w:ilvl w:val="0"/>
          <w:numId w:val="16"/>
        </w:numPr>
        <w:jc w:val="both"/>
        <w:rPr>
          <w:lang w:val="en-US"/>
        </w:rPr>
      </w:pPr>
      <w:r w:rsidRPr="00044556">
        <w:rPr>
          <w:lang w:val="en-US"/>
        </w:rPr>
        <w:t>The complainant complains about UNMIK’s alleged failure to properly investigate the abduction and killing</w:t>
      </w:r>
      <w:r w:rsidR="00340E1D" w:rsidRPr="00044556">
        <w:rPr>
          <w:lang w:val="en-US"/>
        </w:rPr>
        <w:t xml:space="preserve"> of h</w:t>
      </w:r>
      <w:r w:rsidR="00C4656D" w:rsidRPr="00044556">
        <w:rPr>
          <w:lang w:val="en-US"/>
        </w:rPr>
        <w:t>is</w:t>
      </w:r>
      <w:r w:rsidRPr="00044556">
        <w:rPr>
          <w:lang w:val="en-US"/>
        </w:rPr>
        <w:t xml:space="preserve"> </w:t>
      </w:r>
      <w:r w:rsidR="00C4656D" w:rsidRPr="00044556">
        <w:rPr>
          <w:lang w:val="en-US"/>
        </w:rPr>
        <w:t>father</w:t>
      </w:r>
      <w:r w:rsidRPr="00044556">
        <w:rPr>
          <w:lang w:val="en-US"/>
        </w:rPr>
        <w:t xml:space="preserve">. </w:t>
      </w:r>
    </w:p>
    <w:p w:rsidR="008E2C06" w:rsidRPr="00044556" w:rsidRDefault="008E2C06" w:rsidP="00E078D1">
      <w:pPr>
        <w:pStyle w:val="Default"/>
        <w:ind w:left="360"/>
        <w:jc w:val="both"/>
        <w:rPr>
          <w:highlight w:val="yellow"/>
          <w:lang w:val="en-US"/>
        </w:rPr>
      </w:pPr>
    </w:p>
    <w:p w:rsidR="008E2C06" w:rsidRPr="00044556" w:rsidRDefault="008E2C06" w:rsidP="00E078D1">
      <w:pPr>
        <w:pStyle w:val="Default"/>
        <w:numPr>
          <w:ilvl w:val="0"/>
          <w:numId w:val="16"/>
        </w:numPr>
        <w:jc w:val="both"/>
        <w:rPr>
          <w:lang w:val="en-GB"/>
        </w:rPr>
      </w:pPr>
      <w:r w:rsidRPr="00044556">
        <w:rPr>
          <w:lang w:val="en-GB"/>
        </w:rPr>
        <w:t xml:space="preserve">The Panel considers that the complainant may be deemed to invoke a violation of </w:t>
      </w:r>
      <w:r w:rsidR="00340E1D" w:rsidRPr="00044556">
        <w:rPr>
          <w:lang w:val="en-GB"/>
        </w:rPr>
        <w:t xml:space="preserve">the right to life of his </w:t>
      </w:r>
      <w:r w:rsidR="00C4656D" w:rsidRPr="00044556">
        <w:rPr>
          <w:lang w:val="en-GB"/>
        </w:rPr>
        <w:t>father</w:t>
      </w:r>
      <w:r w:rsidRPr="00044556">
        <w:rPr>
          <w:lang w:val="en-GB"/>
        </w:rPr>
        <w:t>, guaranteed by Article 2 of the European Convention on Human Rights (ECHR).</w:t>
      </w:r>
    </w:p>
    <w:p w:rsidR="008E2C06" w:rsidRPr="00044556" w:rsidRDefault="008E2C06" w:rsidP="00625B9F">
      <w:pPr>
        <w:autoSpaceDE w:val="0"/>
        <w:autoSpaceDN w:val="0"/>
        <w:adjustRightInd w:val="0"/>
        <w:jc w:val="both"/>
        <w:rPr>
          <w:lang w:val="en-GB" w:eastAsia="en-US"/>
        </w:rPr>
      </w:pPr>
    </w:p>
    <w:p w:rsidR="008E2C06" w:rsidRPr="00044556" w:rsidRDefault="008E2C06" w:rsidP="00625B9F">
      <w:pPr>
        <w:autoSpaceDE w:val="0"/>
        <w:autoSpaceDN w:val="0"/>
        <w:adjustRightInd w:val="0"/>
        <w:jc w:val="both"/>
        <w:rPr>
          <w:lang w:val="en-GB" w:eastAsia="en-US"/>
        </w:rPr>
      </w:pPr>
    </w:p>
    <w:p w:rsidR="008E2C06" w:rsidRPr="00044556" w:rsidRDefault="008E2C06" w:rsidP="00625B9F">
      <w:pPr>
        <w:autoSpaceDE w:val="0"/>
        <w:autoSpaceDN w:val="0"/>
        <w:adjustRightInd w:val="0"/>
        <w:ind w:left="360" w:hanging="360"/>
        <w:jc w:val="both"/>
        <w:outlineLvl w:val="0"/>
        <w:rPr>
          <w:b/>
          <w:bCs/>
          <w:lang w:val="en-GB" w:eastAsia="en-US"/>
        </w:rPr>
      </w:pPr>
      <w:r w:rsidRPr="00044556">
        <w:rPr>
          <w:b/>
          <w:bCs/>
          <w:lang w:val="en-GB" w:eastAsia="en-US"/>
        </w:rPr>
        <w:t>IV. THE LAW</w:t>
      </w:r>
    </w:p>
    <w:p w:rsidR="008E2C06" w:rsidRPr="00044556" w:rsidRDefault="008E2C06" w:rsidP="00625B9F">
      <w:pPr>
        <w:pStyle w:val="JuPara"/>
        <w:ind w:firstLine="0"/>
        <w:rPr>
          <w:szCs w:val="24"/>
          <w:lang w:eastAsia="en-US"/>
        </w:rPr>
      </w:pPr>
    </w:p>
    <w:p w:rsidR="008E2C06" w:rsidRPr="00044556" w:rsidRDefault="008E2C06" w:rsidP="00625B9F">
      <w:pPr>
        <w:numPr>
          <w:ilvl w:val="0"/>
          <w:numId w:val="16"/>
        </w:numPr>
        <w:suppressAutoHyphens/>
        <w:autoSpaceDE w:val="0"/>
        <w:jc w:val="both"/>
        <w:rPr>
          <w:lang w:val="en-GB"/>
        </w:rPr>
      </w:pPr>
      <w:r w:rsidRPr="00044556">
        <w:rPr>
          <w:lang w:val="en-GB"/>
        </w:rPr>
        <w:t>Before considering the case on its merits, the Panel must first decide whether to accept the case, considering the admissibility criteria set out in Sections 1, 2 and 3 of UNMIK Regulation No. 2006/12.</w:t>
      </w:r>
    </w:p>
    <w:p w:rsidR="008E2C06" w:rsidRPr="00044556" w:rsidRDefault="008E2C06" w:rsidP="00933C3E">
      <w:pPr>
        <w:suppressAutoHyphens/>
        <w:autoSpaceDE w:val="0"/>
        <w:jc w:val="both"/>
        <w:rPr>
          <w:highlight w:val="yellow"/>
          <w:lang w:val="en-GB"/>
        </w:rPr>
      </w:pPr>
    </w:p>
    <w:p w:rsidR="008E2C06" w:rsidRPr="00044556" w:rsidRDefault="008E2C06" w:rsidP="00933C3E">
      <w:pPr>
        <w:numPr>
          <w:ilvl w:val="0"/>
          <w:numId w:val="16"/>
        </w:numPr>
        <w:suppressAutoHyphens/>
        <w:autoSpaceDE w:val="0"/>
        <w:jc w:val="both"/>
      </w:pPr>
      <w:r w:rsidRPr="00044556">
        <w:rPr>
          <w:lang w:val="en-GB"/>
        </w:rPr>
        <w:t xml:space="preserve">The complainant alleges in substance the lack of an adequate criminal investigation into the abduction and killing of </w:t>
      </w:r>
      <w:r w:rsidR="00C4656D" w:rsidRPr="00044556">
        <w:rPr>
          <w:lang w:val="en-GB"/>
        </w:rPr>
        <w:t>his father</w:t>
      </w:r>
      <w:r w:rsidRPr="00044556">
        <w:rPr>
          <w:lang w:val="en-GB"/>
        </w:rPr>
        <w:t xml:space="preserve">. </w:t>
      </w:r>
    </w:p>
    <w:p w:rsidR="008E2C06" w:rsidRPr="00044556" w:rsidRDefault="008E2C06" w:rsidP="00933C3E">
      <w:pPr>
        <w:suppressAutoHyphens/>
        <w:autoSpaceDE w:val="0"/>
        <w:ind w:left="360"/>
        <w:jc w:val="both"/>
      </w:pPr>
    </w:p>
    <w:p w:rsidR="00017A76" w:rsidRPr="005B7C32" w:rsidRDefault="00017A76" w:rsidP="00017A76">
      <w:pPr>
        <w:numPr>
          <w:ilvl w:val="0"/>
          <w:numId w:val="16"/>
        </w:numPr>
        <w:suppressAutoHyphens/>
        <w:autoSpaceDE w:val="0"/>
        <w:jc w:val="both"/>
      </w:pPr>
      <w:r w:rsidRPr="00044556">
        <w:rPr>
          <w:lang w:val="en-GB"/>
        </w:rPr>
        <w:t xml:space="preserve">In his comments, the SRSG argues that </w:t>
      </w:r>
      <w:r w:rsidR="005B7C32">
        <w:rPr>
          <w:lang w:val="en-GB"/>
        </w:rPr>
        <w:t xml:space="preserve">since the mortal remains of Mr S.Š. were handed over to his family, following determination of the cause of death, UNMIK complied with one of the procedural requirements envisaged by Article 2 of the ECHR, namely the obligation to conduct an investigation capable of determining the fate and whereabouts of the missing person. The SRSG is of the view that the complaint concerning the above-mentioned aspect of Article 2 is inadmissible. </w:t>
      </w:r>
      <w:r w:rsidR="005B7C32" w:rsidRPr="00044556">
        <w:rPr>
          <w:lang w:val="en-GB"/>
        </w:rPr>
        <w:t xml:space="preserve"> </w:t>
      </w:r>
    </w:p>
    <w:p w:rsidR="005B7C32" w:rsidRDefault="005B7C32" w:rsidP="005B7C32">
      <w:pPr>
        <w:suppressAutoHyphens/>
        <w:autoSpaceDE w:val="0"/>
        <w:jc w:val="both"/>
      </w:pPr>
    </w:p>
    <w:p w:rsidR="00017A76" w:rsidRPr="00017A76" w:rsidRDefault="00017A76" w:rsidP="00017A76">
      <w:pPr>
        <w:numPr>
          <w:ilvl w:val="0"/>
          <w:numId w:val="16"/>
        </w:numPr>
        <w:suppressAutoHyphens/>
        <w:autoSpaceDE w:val="0"/>
        <w:jc w:val="both"/>
      </w:pPr>
      <w:r w:rsidRPr="00044556">
        <w:rPr>
          <w:lang w:val="en-GB"/>
        </w:rPr>
        <w:t xml:space="preserve"> </w:t>
      </w:r>
      <w:r w:rsidRPr="00044556">
        <w:t xml:space="preserve">On the other hand, the SRSG accepts that the complaint is </w:t>
      </w:r>
      <w:r w:rsidRPr="00044556">
        <w:rPr>
          <w:i/>
        </w:rPr>
        <w:t>prima facie</w:t>
      </w:r>
      <w:r w:rsidRPr="00044556">
        <w:t xml:space="preserve"> admissible </w:t>
      </w:r>
      <w:r w:rsidRPr="00044556">
        <w:rPr>
          <w:lang w:val="en-GB"/>
        </w:rPr>
        <w:t>with respect to another procedural requirement of Article 2 of the ECHR, namely the obligation to conduct an investigati</w:t>
      </w:r>
      <w:r w:rsidR="004D5BFB">
        <w:rPr>
          <w:lang w:val="en-GB"/>
        </w:rPr>
        <w:t>on</w:t>
      </w:r>
      <w:r w:rsidRPr="00044556">
        <w:rPr>
          <w:lang w:val="en-GB"/>
        </w:rPr>
        <w:t xml:space="preserve"> capable of determining “whether </w:t>
      </w:r>
      <w:r w:rsidR="005B7C32">
        <w:rPr>
          <w:lang w:val="en-GB"/>
        </w:rPr>
        <w:t xml:space="preserve">the death was caused </w:t>
      </w:r>
      <w:r w:rsidR="005B7C32">
        <w:rPr>
          <w:lang w:val="en-GB"/>
        </w:rPr>
        <w:lastRenderedPageBreak/>
        <w:t xml:space="preserve">unlawfully and subsequently </w:t>
      </w:r>
      <w:r w:rsidRPr="00044556">
        <w:rPr>
          <w:lang w:val="en-GB"/>
        </w:rPr>
        <w:t>leading to the identification and punishment of those responsible for the disappearance and</w:t>
      </w:r>
      <w:r w:rsidR="005B7C32">
        <w:rPr>
          <w:lang w:val="en-GB"/>
        </w:rPr>
        <w:t>/or</w:t>
      </w:r>
      <w:r w:rsidRPr="00044556">
        <w:rPr>
          <w:lang w:val="en-GB"/>
        </w:rPr>
        <w:t xml:space="preserve"> death” of </w:t>
      </w:r>
      <w:r w:rsidR="00013A61">
        <w:rPr>
          <w:lang w:val="en-GB"/>
        </w:rPr>
        <w:t>Mr S.Š.</w:t>
      </w:r>
      <w:r w:rsidRPr="00044556">
        <w:rPr>
          <w:lang w:val="en-GB"/>
        </w:rPr>
        <w:t xml:space="preserve"> </w:t>
      </w:r>
    </w:p>
    <w:p w:rsidR="00017A76" w:rsidRDefault="00017A76" w:rsidP="00017A76">
      <w:pPr>
        <w:pStyle w:val="ListParagraph"/>
      </w:pPr>
    </w:p>
    <w:p w:rsidR="00017A76" w:rsidRDefault="00017A76" w:rsidP="00017A76">
      <w:pPr>
        <w:numPr>
          <w:ilvl w:val="0"/>
          <w:numId w:val="16"/>
        </w:numPr>
        <w:suppressAutoHyphens/>
        <w:autoSpaceDE w:val="0"/>
        <w:jc w:val="both"/>
      </w:pPr>
      <w:r w:rsidRPr="00044556">
        <w:t>The Panel notes that the SRSG distinguishes between two procedural requirements of Article 2 of the ECHR. He thus considers that the activities of locating and identification of the mortal remains of a missing person can be seen as an independent component of the procedural obligation envisaged by Article 2 of the ECHR.</w:t>
      </w:r>
    </w:p>
    <w:p w:rsidR="00017A76" w:rsidRPr="00044556" w:rsidRDefault="00017A76" w:rsidP="00017A76">
      <w:pPr>
        <w:suppressAutoHyphens/>
        <w:autoSpaceDE w:val="0"/>
        <w:jc w:val="both"/>
      </w:pPr>
    </w:p>
    <w:p w:rsidR="00017A76" w:rsidRPr="00044556" w:rsidRDefault="00017A76" w:rsidP="00017A76">
      <w:pPr>
        <w:numPr>
          <w:ilvl w:val="0"/>
          <w:numId w:val="16"/>
        </w:numPr>
        <w:suppressAutoHyphens/>
        <w:autoSpaceDE w:val="0"/>
        <w:jc w:val="both"/>
      </w:pPr>
      <w:r w:rsidRPr="00044556">
        <w:t xml:space="preserve">On this point, the Panel refers to the case law of the European Court of Human Rights setting the standards of an effective investigation into killings and disappearances in life-threatening circumstances. The European Court states that “the essential purpose of such investigation is to secure the effective implementation of the domestic laws which protect the right </w:t>
      </w:r>
      <w:r>
        <w:t>to life</w:t>
      </w:r>
      <w:r w:rsidRPr="00044556">
        <w:t xml:space="preserve">” (see, </w:t>
      </w:r>
      <w:r w:rsidRPr="00044556">
        <w:rPr>
          <w:i/>
        </w:rPr>
        <w:t>e.g.</w:t>
      </w:r>
      <w:r w:rsidRPr="00044556">
        <w:t xml:space="preserve">, European Court of Human Rights (ECtHR) (Grand Chamber), </w:t>
      </w:r>
      <w:r w:rsidRPr="00044556">
        <w:rPr>
          <w:i/>
        </w:rPr>
        <w:t>Varnava and Others v. Turkey</w:t>
      </w:r>
      <w:r w:rsidRPr="00044556">
        <w:t xml:space="preserve">, nos. 16064/09 and others, judgment of 18 September 2009, § 191). Specifically with regard to persons disappeared and later found dead, the Court has stated that the procedures of exhumating and identifying mortal remains do not exhaust the obligation under Article 2 of the ECHR. It is true that the Court holds that “the procedural obligation arising from a disappearance will generally remain as long as the whereabouts and fate of the person are unaccounted for, and it is thus of a continuing nature” (ECtHR, </w:t>
      </w:r>
      <w:r w:rsidRPr="00044556">
        <w:rPr>
          <w:i/>
        </w:rPr>
        <w:t>Palić v. Bosnia and Herzegovina</w:t>
      </w:r>
      <w:r w:rsidRPr="00044556">
        <w:t xml:space="preserve">, no. 4704/04, judgment of 15 February 2011, § 46; in the same sense ECtHR (Grand Chamber), </w:t>
      </w:r>
      <w:r w:rsidRPr="00044556">
        <w:rPr>
          <w:i/>
        </w:rPr>
        <w:t>Varnava and Others v. Turkey</w:t>
      </w:r>
      <w:r w:rsidRPr="00044556">
        <w:t xml:space="preserve">, cited above, at § 148).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044556">
        <w:rPr>
          <w:i/>
        </w:rPr>
        <w:t>Palić v. Bosnia and Herzegovina</w:t>
      </w:r>
      <w:r w:rsidRPr="00044556">
        <w:t xml:space="preserve">, cited above, at § 46; in the same sense ECtHR (Grand Chamber), </w:t>
      </w:r>
      <w:r w:rsidRPr="00044556">
        <w:rPr>
          <w:i/>
        </w:rPr>
        <w:t>Varnava and Others v. Turkey</w:t>
      </w:r>
      <w:r w:rsidRPr="00044556">
        <w:t xml:space="preserve">, cited above, at § 145). The procedural obligation under Article 2 of the ECHR should therefore be seen as a single obligation. While the location and the subsequent identification of the mortal remains of the victim may in themselves be significant achievements, the procedural obligation under Article 2 continues to exist (see ECtHR, </w:t>
      </w:r>
      <w:r w:rsidRPr="00044556">
        <w:rPr>
          <w:i/>
        </w:rPr>
        <w:t>Palić v. Bosnia and Herzegovina</w:t>
      </w:r>
      <w:r w:rsidRPr="00044556">
        <w:t>, cited above, at § 64).</w:t>
      </w:r>
      <w:r w:rsidRPr="00044556">
        <w:rPr>
          <w:rStyle w:val="FootnoteReference"/>
        </w:rPr>
        <w:t xml:space="preserve"> </w:t>
      </w:r>
    </w:p>
    <w:p w:rsidR="00017A76" w:rsidRPr="00044556" w:rsidRDefault="00017A76" w:rsidP="00017A76">
      <w:pPr>
        <w:suppressAutoHyphens/>
        <w:autoSpaceDE w:val="0"/>
        <w:jc w:val="both"/>
      </w:pPr>
    </w:p>
    <w:p w:rsidR="00017A76" w:rsidRPr="00044556" w:rsidRDefault="00017A76" w:rsidP="00017A76">
      <w:pPr>
        <w:numPr>
          <w:ilvl w:val="0"/>
          <w:numId w:val="16"/>
        </w:numPr>
        <w:suppressAutoHyphens/>
        <w:autoSpaceDE w:val="0"/>
        <w:jc w:val="both"/>
      </w:pPr>
      <w:r w:rsidRPr="00044556">
        <w:t xml:space="preserve">For these reasons, the Panel will not separate the obligation to conduct an investigation capable </w:t>
      </w:r>
      <w:r w:rsidRPr="00017A76">
        <w:rPr>
          <w:lang w:val="en-GB"/>
        </w:rPr>
        <w:t>of determining the fate and whereabouts of the missing person</w:t>
      </w:r>
      <w:r w:rsidRPr="00044556">
        <w:t xml:space="preserve"> from the obligation </w:t>
      </w:r>
      <w:r w:rsidRPr="00017A76">
        <w:rPr>
          <w:lang w:val="en-GB"/>
        </w:rPr>
        <w:t xml:space="preserve">to conduct an investigation capable of determining whether there was an unlawful disappearance and leading to the identification and punishment of those responsible for the disappearance and death of the victim. The Panel will proceed on the basis of a single continuing obligation (see Human Rights Advisory Panel, </w:t>
      </w:r>
      <w:r w:rsidRPr="00017A76">
        <w:rPr>
          <w:i/>
          <w:lang w:val="en-GB"/>
        </w:rPr>
        <w:t>Simović</w:t>
      </w:r>
      <w:r w:rsidRPr="00017A76">
        <w:rPr>
          <w:lang w:val="en-GB"/>
        </w:rPr>
        <w:t xml:space="preserve">, no. 246/09, decision of 6 April 2012, § 18). Obviously, however, the fact that </w:t>
      </w:r>
      <w:r w:rsidRPr="00044556">
        <w:t xml:space="preserve">the mortal remains of </w:t>
      </w:r>
      <w:r w:rsidR="004D5BFB">
        <w:rPr>
          <w:lang w:val="en-GB"/>
        </w:rPr>
        <w:t>Mr S.Š.</w:t>
      </w:r>
      <w:r w:rsidR="009C7074" w:rsidRPr="00044556">
        <w:t xml:space="preserve"> </w:t>
      </w:r>
      <w:r w:rsidRPr="00044556">
        <w:t>have been located and subsequently identified is a significant element to be taken into account in the overall assessment of the fulfilment of the procedural obligation under Article 2 of the ECHR.</w:t>
      </w:r>
    </w:p>
    <w:p w:rsidR="008E2C06" w:rsidRPr="00044556" w:rsidRDefault="008E2C06" w:rsidP="008105D3">
      <w:pPr>
        <w:pStyle w:val="ListParagraph"/>
      </w:pPr>
    </w:p>
    <w:p w:rsidR="008E2C06" w:rsidRPr="00044556" w:rsidRDefault="00017A76" w:rsidP="00CF6F48">
      <w:pPr>
        <w:numPr>
          <w:ilvl w:val="0"/>
          <w:numId w:val="16"/>
        </w:numPr>
        <w:tabs>
          <w:tab w:val="left" w:pos="288"/>
        </w:tabs>
        <w:autoSpaceDE w:val="0"/>
        <w:autoSpaceDN w:val="0"/>
        <w:adjustRightInd w:val="0"/>
        <w:jc w:val="both"/>
        <w:rPr>
          <w:lang w:val="en-GB" w:eastAsia="en-US"/>
        </w:rPr>
      </w:pPr>
      <w:r>
        <w:rPr>
          <w:lang w:val="en-GB"/>
        </w:rPr>
        <w:t xml:space="preserve">The Panel therefore </w:t>
      </w:r>
      <w:r w:rsidR="008E2C06" w:rsidRPr="00044556">
        <w:rPr>
          <w:lang w:val="en-GB"/>
        </w:rPr>
        <w:t xml:space="preserve">considers that the complaint raises serious issues of fact and law, the determination of which should depend on an examination of the merits. The Panel concludes therefore that the complaint is not manifestly ill-founded within the meaning of </w:t>
      </w:r>
      <w:r w:rsidR="008E2C06" w:rsidRPr="00044556">
        <w:rPr>
          <w:lang w:val="en-GB" w:eastAsia="en-US"/>
        </w:rPr>
        <w:t xml:space="preserve">Section 3.3 of </w:t>
      </w:r>
      <w:r w:rsidR="008E2C06" w:rsidRPr="00044556">
        <w:rPr>
          <w:lang w:val="en-GB"/>
        </w:rPr>
        <w:t>UNMIK Regulation No. 2006/12.</w:t>
      </w:r>
    </w:p>
    <w:p w:rsidR="008E2C06" w:rsidRPr="00044556" w:rsidRDefault="008E2C06" w:rsidP="00807EEB">
      <w:pPr>
        <w:tabs>
          <w:tab w:val="left" w:pos="288"/>
        </w:tabs>
        <w:autoSpaceDE w:val="0"/>
        <w:autoSpaceDN w:val="0"/>
        <w:adjustRightInd w:val="0"/>
        <w:jc w:val="both"/>
        <w:rPr>
          <w:lang w:val="en-GB" w:eastAsia="en-US"/>
        </w:rPr>
      </w:pPr>
    </w:p>
    <w:p w:rsidR="008E2C06" w:rsidRPr="00044556" w:rsidRDefault="008E2C06" w:rsidP="00CF6F48">
      <w:pPr>
        <w:numPr>
          <w:ilvl w:val="0"/>
          <w:numId w:val="16"/>
        </w:numPr>
        <w:tabs>
          <w:tab w:val="left" w:pos="288"/>
        </w:tabs>
        <w:autoSpaceDE w:val="0"/>
        <w:autoSpaceDN w:val="0"/>
        <w:adjustRightInd w:val="0"/>
        <w:jc w:val="both"/>
        <w:rPr>
          <w:lang w:val="en-GB" w:eastAsia="en-US"/>
        </w:rPr>
      </w:pPr>
      <w:r w:rsidRPr="00044556">
        <w:rPr>
          <w:lang w:val="en-GB"/>
        </w:rPr>
        <w:t>No other ground for declaring the complaint inadmissible has been established.</w:t>
      </w:r>
    </w:p>
    <w:p w:rsidR="008E2C06" w:rsidRDefault="008E2C06" w:rsidP="00807EEB">
      <w:pPr>
        <w:tabs>
          <w:tab w:val="left" w:pos="288"/>
        </w:tabs>
        <w:autoSpaceDE w:val="0"/>
        <w:autoSpaceDN w:val="0"/>
        <w:adjustRightInd w:val="0"/>
        <w:jc w:val="both"/>
        <w:rPr>
          <w:lang w:val="en-GB" w:eastAsia="en-US"/>
        </w:rPr>
      </w:pPr>
    </w:p>
    <w:p w:rsidR="005B7C32" w:rsidRDefault="005B7C32" w:rsidP="00807EEB">
      <w:pPr>
        <w:tabs>
          <w:tab w:val="left" w:pos="288"/>
        </w:tabs>
        <w:autoSpaceDE w:val="0"/>
        <w:autoSpaceDN w:val="0"/>
        <w:adjustRightInd w:val="0"/>
        <w:jc w:val="both"/>
        <w:rPr>
          <w:lang w:val="en-GB" w:eastAsia="en-US"/>
        </w:rPr>
      </w:pPr>
    </w:p>
    <w:p w:rsidR="005B7C32" w:rsidRPr="00044556" w:rsidRDefault="005B7C32" w:rsidP="00807EEB">
      <w:pPr>
        <w:tabs>
          <w:tab w:val="left" w:pos="288"/>
        </w:tabs>
        <w:autoSpaceDE w:val="0"/>
        <w:autoSpaceDN w:val="0"/>
        <w:adjustRightInd w:val="0"/>
        <w:jc w:val="both"/>
        <w:rPr>
          <w:lang w:val="en-GB" w:eastAsia="en-US"/>
        </w:rPr>
      </w:pPr>
    </w:p>
    <w:p w:rsidR="008E2C06" w:rsidRPr="00044556" w:rsidRDefault="008E2C06" w:rsidP="00625B9F">
      <w:pPr>
        <w:autoSpaceDE w:val="0"/>
        <w:autoSpaceDN w:val="0"/>
        <w:adjustRightInd w:val="0"/>
        <w:jc w:val="both"/>
        <w:rPr>
          <w:b/>
          <w:bCs/>
          <w:lang w:val="en-GB" w:eastAsia="en-US"/>
        </w:rPr>
      </w:pPr>
    </w:p>
    <w:p w:rsidR="008E2C06" w:rsidRPr="00044556" w:rsidRDefault="008E2C06" w:rsidP="00625B9F">
      <w:pPr>
        <w:autoSpaceDE w:val="0"/>
        <w:autoSpaceDN w:val="0"/>
        <w:adjustRightInd w:val="0"/>
        <w:jc w:val="both"/>
        <w:rPr>
          <w:b/>
          <w:bCs/>
          <w:lang w:val="en-GB" w:eastAsia="en-US"/>
        </w:rPr>
      </w:pPr>
      <w:r w:rsidRPr="00044556">
        <w:rPr>
          <w:b/>
          <w:bCs/>
          <w:lang w:val="en-GB" w:eastAsia="en-US"/>
        </w:rPr>
        <w:lastRenderedPageBreak/>
        <w:t>FOR THESE REASONS,</w:t>
      </w:r>
    </w:p>
    <w:p w:rsidR="008E2C06" w:rsidRPr="00044556" w:rsidRDefault="008E2C06" w:rsidP="00625B9F">
      <w:pPr>
        <w:autoSpaceDE w:val="0"/>
        <w:autoSpaceDN w:val="0"/>
        <w:adjustRightInd w:val="0"/>
        <w:jc w:val="both"/>
        <w:rPr>
          <w:lang w:val="en-GB" w:eastAsia="en-US"/>
        </w:rPr>
      </w:pPr>
    </w:p>
    <w:p w:rsidR="008E2C06" w:rsidRPr="00044556" w:rsidRDefault="008E2C06" w:rsidP="00625B9F">
      <w:pPr>
        <w:autoSpaceDE w:val="0"/>
        <w:autoSpaceDN w:val="0"/>
        <w:adjustRightInd w:val="0"/>
        <w:jc w:val="both"/>
        <w:rPr>
          <w:lang w:val="en-GB" w:eastAsia="en-US"/>
        </w:rPr>
      </w:pPr>
      <w:r w:rsidRPr="00044556">
        <w:rPr>
          <w:lang w:val="en-GB" w:eastAsia="en-US"/>
        </w:rPr>
        <w:t>The Panel, unanimously,</w:t>
      </w:r>
    </w:p>
    <w:p w:rsidR="008E2C06" w:rsidRPr="00044556" w:rsidRDefault="008E2C06" w:rsidP="00625B9F">
      <w:pPr>
        <w:autoSpaceDE w:val="0"/>
        <w:autoSpaceDN w:val="0"/>
        <w:adjustRightInd w:val="0"/>
        <w:jc w:val="both"/>
        <w:rPr>
          <w:bCs/>
          <w:lang w:val="en-GB" w:eastAsia="en-US"/>
        </w:rPr>
      </w:pPr>
    </w:p>
    <w:p w:rsidR="008E2C06" w:rsidRPr="00044556" w:rsidRDefault="008E2C06" w:rsidP="00807EEB">
      <w:pPr>
        <w:autoSpaceDE w:val="0"/>
        <w:autoSpaceDN w:val="0"/>
        <w:adjustRightInd w:val="0"/>
        <w:jc w:val="both"/>
        <w:outlineLvl w:val="0"/>
        <w:rPr>
          <w:b/>
          <w:bCs/>
          <w:lang w:val="en-GB" w:eastAsia="en-US"/>
        </w:rPr>
      </w:pPr>
      <w:r w:rsidRPr="00044556">
        <w:rPr>
          <w:b/>
          <w:bCs/>
          <w:lang w:val="en-GB" w:eastAsia="en-US"/>
        </w:rPr>
        <w:t>DECLARES THE COMPLAINT ADMISSIBLE</w:t>
      </w:r>
      <w:r w:rsidR="005B7C32">
        <w:rPr>
          <w:b/>
          <w:bCs/>
          <w:lang w:val="en-GB" w:eastAsia="en-US"/>
        </w:rPr>
        <w:t>.</w:t>
      </w:r>
      <w:r w:rsidRPr="00044556">
        <w:rPr>
          <w:b/>
          <w:bCs/>
          <w:lang w:val="en-GB" w:eastAsia="en-US"/>
        </w:rPr>
        <w:t xml:space="preserve"> </w:t>
      </w:r>
    </w:p>
    <w:p w:rsidR="008E2C06" w:rsidRPr="00044556" w:rsidRDefault="008E2C06" w:rsidP="00625B9F">
      <w:pPr>
        <w:autoSpaceDE w:val="0"/>
        <w:jc w:val="both"/>
        <w:rPr>
          <w:lang w:val="en-GB"/>
        </w:rPr>
      </w:pPr>
    </w:p>
    <w:p w:rsidR="008E2C06" w:rsidRPr="00044556" w:rsidRDefault="008E2C06" w:rsidP="00625B9F">
      <w:pPr>
        <w:autoSpaceDE w:val="0"/>
        <w:jc w:val="both"/>
        <w:rPr>
          <w:lang w:val="en-GB"/>
        </w:rPr>
      </w:pPr>
    </w:p>
    <w:p w:rsidR="008E2C06" w:rsidRDefault="008E2C06" w:rsidP="00625B9F">
      <w:pPr>
        <w:autoSpaceDE w:val="0"/>
        <w:jc w:val="both"/>
        <w:rPr>
          <w:lang w:val="en-GB"/>
        </w:rPr>
      </w:pPr>
    </w:p>
    <w:p w:rsidR="00663967" w:rsidRDefault="00663967" w:rsidP="00625B9F">
      <w:pPr>
        <w:autoSpaceDE w:val="0"/>
        <w:jc w:val="both"/>
        <w:rPr>
          <w:lang w:val="en-GB"/>
        </w:rPr>
      </w:pPr>
    </w:p>
    <w:p w:rsidR="00663967" w:rsidRPr="00044556" w:rsidRDefault="00663967" w:rsidP="00625B9F">
      <w:pPr>
        <w:autoSpaceDE w:val="0"/>
        <w:jc w:val="both"/>
        <w:rPr>
          <w:lang w:val="en-GB"/>
        </w:rPr>
      </w:pPr>
    </w:p>
    <w:p w:rsidR="008E2C06" w:rsidRPr="00044556" w:rsidRDefault="008E2C06" w:rsidP="00625B9F">
      <w:pPr>
        <w:autoSpaceDE w:val="0"/>
        <w:jc w:val="both"/>
        <w:rPr>
          <w:lang w:val="en-GB"/>
        </w:rPr>
      </w:pPr>
    </w:p>
    <w:p w:rsidR="008E2C06" w:rsidRPr="00044556" w:rsidRDefault="008E2C06" w:rsidP="00625B9F">
      <w:pPr>
        <w:autoSpaceDE w:val="0"/>
        <w:jc w:val="both"/>
        <w:rPr>
          <w:lang w:val="en-GB"/>
        </w:rPr>
      </w:pPr>
    </w:p>
    <w:p w:rsidR="008E2C06" w:rsidRPr="00044556" w:rsidRDefault="008E2C06" w:rsidP="00625B9F">
      <w:pPr>
        <w:autoSpaceDE w:val="0"/>
        <w:autoSpaceDN w:val="0"/>
        <w:adjustRightInd w:val="0"/>
        <w:jc w:val="both"/>
        <w:rPr>
          <w:lang w:val="en-GB" w:eastAsia="en-US"/>
        </w:rPr>
      </w:pPr>
      <w:r w:rsidRPr="00044556">
        <w:rPr>
          <w:lang w:val="en-GB" w:eastAsia="en-US"/>
        </w:rPr>
        <w:t>Andrey ANTONOV</w:t>
      </w:r>
      <w:r w:rsidRPr="00044556">
        <w:rPr>
          <w:lang w:val="en-GB" w:eastAsia="en-US"/>
        </w:rPr>
        <w:tab/>
      </w:r>
      <w:r w:rsidRPr="00044556">
        <w:rPr>
          <w:lang w:val="en-GB" w:eastAsia="en-US"/>
        </w:rPr>
        <w:tab/>
      </w:r>
      <w:r w:rsidRPr="00044556">
        <w:rPr>
          <w:lang w:val="en-GB" w:eastAsia="en-US"/>
        </w:rPr>
        <w:tab/>
      </w:r>
      <w:r w:rsidRPr="00044556">
        <w:rPr>
          <w:lang w:val="en-GB" w:eastAsia="en-US"/>
        </w:rPr>
        <w:tab/>
      </w:r>
      <w:r w:rsidRPr="00044556">
        <w:rPr>
          <w:lang w:val="en-GB" w:eastAsia="en-US"/>
        </w:rPr>
        <w:tab/>
        <w:t xml:space="preserve"> </w:t>
      </w:r>
      <w:r w:rsidRPr="00044556">
        <w:rPr>
          <w:lang w:val="en-GB" w:eastAsia="en-US"/>
        </w:rPr>
        <w:tab/>
      </w:r>
      <w:r w:rsidRPr="00044556">
        <w:rPr>
          <w:lang w:val="en-GB" w:eastAsia="en-US"/>
        </w:rPr>
        <w:tab/>
        <w:t>Marek NOWICKI</w:t>
      </w:r>
    </w:p>
    <w:p w:rsidR="008E2C06" w:rsidRPr="00044556" w:rsidRDefault="008E2C06" w:rsidP="007206EF">
      <w:pPr>
        <w:autoSpaceDE w:val="0"/>
        <w:autoSpaceDN w:val="0"/>
        <w:adjustRightInd w:val="0"/>
        <w:jc w:val="both"/>
        <w:rPr>
          <w:lang w:val="en-GB" w:eastAsia="en-US"/>
        </w:rPr>
      </w:pPr>
      <w:r w:rsidRPr="00044556">
        <w:rPr>
          <w:lang w:val="en-GB" w:eastAsia="en-US"/>
        </w:rPr>
        <w:t>Executive Officer</w:t>
      </w:r>
      <w:r w:rsidRPr="00044556">
        <w:rPr>
          <w:lang w:val="en-GB" w:eastAsia="en-US"/>
        </w:rPr>
        <w:tab/>
      </w:r>
      <w:r w:rsidRPr="00044556">
        <w:rPr>
          <w:lang w:val="en-GB" w:eastAsia="en-US"/>
        </w:rPr>
        <w:tab/>
      </w:r>
      <w:r w:rsidRPr="00044556">
        <w:rPr>
          <w:lang w:val="en-GB" w:eastAsia="en-US"/>
        </w:rPr>
        <w:tab/>
      </w:r>
      <w:r w:rsidRPr="00044556">
        <w:rPr>
          <w:lang w:val="en-GB" w:eastAsia="en-US"/>
        </w:rPr>
        <w:tab/>
      </w:r>
      <w:r w:rsidRPr="00044556">
        <w:rPr>
          <w:lang w:val="en-GB" w:eastAsia="en-US"/>
        </w:rPr>
        <w:tab/>
      </w:r>
      <w:r w:rsidRPr="00044556">
        <w:rPr>
          <w:lang w:val="en-GB" w:eastAsia="en-US"/>
        </w:rPr>
        <w:tab/>
      </w:r>
      <w:r w:rsidRPr="00044556">
        <w:rPr>
          <w:lang w:val="en-GB" w:eastAsia="en-US"/>
        </w:rPr>
        <w:tab/>
        <w:t>Presiding Member</w:t>
      </w:r>
    </w:p>
    <w:sectPr w:rsidR="008E2C06" w:rsidRPr="00044556" w:rsidSect="009E5419">
      <w:headerReference w:type="even" r:id="rId8"/>
      <w:headerReference w:type="default" r:id="rId9"/>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2E3" w:rsidRDefault="00B242E3">
      <w:r>
        <w:separator/>
      </w:r>
    </w:p>
  </w:endnote>
  <w:endnote w:type="continuationSeparator" w:id="0">
    <w:p w:rsidR="00B242E3" w:rsidRDefault="00B24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2E3" w:rsidRDefault="00B242E3">
      <w:r>
        <w:separator/>
      </w:r>
    </w:p>
  </w:footnote>
  <w:footnote w:type="continuationSeparator" w:id="0">
    <w:p w:rsidR="00B242E3" w:rsidRDefault="00B24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06" w:rsidRDefault="00262795" w:rsidP="00034929">
    <w:pPr>
      <w:pStyle w:val="Header"/>
      <w:framePr w:wrap="around" w:vAnchor="text" w:hAnchor="margin" w:xAlign="right" w:y="1"/>
      <w:rPr>
        <w:rStyle w:val="PageNumber"/>
      </w:rPr>
    </w:pPr>
    <w:r>
      <w:rPr>
        <w:rStyle w:val="PageNumber"/>
      </w:rPr>
      <w:fldChar w:fldCharType="begin"/>
    </w:r>
    <w:r w:rsidR="008E2C06">
      <w:rPr>
        <w:rStyle w:val="PageNumber"/>
      </w:rPr>
      <w:instrText xml:space="preserve">PAGE  </w:instrText>
    </w:r>
    <w:r>
      <w:rPr>
        <w:rStyle w:val="PageNumber"/>
      </w:rPr>
      <w:fldChar w:fldCharType="end"/>
    </w:r>
  </w:p>
  <w:p w:rsidR="008E2C06" w:rsidRDefault="008E2C06"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06" w:rsidRPr="00592AAE" w:rsidRDefault="00262795"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8E2C06" w:rsidRPr="00592AAE">
      <w:rPr>
        <w:rStyle w:val="PageNumber"/>
        <w:sz w:val="22"/>
        <w:szCs w:val="22"/>
      </w:rPr>
      <w:instrText xml:space="preserve">PAGE  </w:instrText>
    </w:r>
    <w:r w:rsidRPr="00592AAE">
      <w:rPr>
        <w:rStyle w:val="PageNumber"/>
        <w:sz w:val="22"/>
        <w:szCs w:val="22"/>
      </w:rPr>
      <w:fldChar w:fldCharType="separate"/>
    </w:r>
    <w:r w:rsidR="000E5CE9">
      <w:rPr>
        <w:rStyle w:val="PageNumber"/>
        <w:noProof/>
        <w:sz w:val="22"/>
        <w:szCs w:val="22"/>
      </w:rPr>
      <w:t>4</w:t>
    </w:r>
    <w:r w:rsidRPr="00592AAE">
      <w:rPr>
        <w:rStyle w:val="PageNumber"/>
        <w:sz w:val="22"/>
        <w:szCs w:val="22"/>
      </w:rPr>
      <w:fldChar w:fldCharType="end"/>
    </w:r>
  </w:p>
  <w:p w:rsidR="008E2C06" w:rsidRDefault="008E2C06"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06622AF4"/>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7"/>
  </w:num>
  <w:num w:numId="4">
    <w:abstractNumId w:val="28"/>
  </w:num>
  <w:num w:numId="5">
    <w:abstractNumId w:val="37"/>
  </w:num>
  <w:num w:numId="6">
    <w:abstractNumId w:val="3"/>
  </w:num>
  <w:num w:numId="7">
    <w:abstractNumId w:val="38"/>
  </w:num>
  <w:num w:numId="8">
    <w:abstractNumId w:val="20"/>
  </w:num>
  <w:num w:numId="9">
    <w:abstractNumId w:val="7"/>
  </w:num>
  <w:num w:numId="10">
    <w:abstractNumId w:val="40"/>
  </w:num>
  <w:num w:numId="11">
    <w:abstractNumId w:val="11"/>
  </w:num>
  <w:num w:numId="12">
    <w:abstractNumId w:val="15"/>
  </w:num>
  <w:num w:numId="13">
    <w:abstractNumId w:val="31"/>
  </w:num>
  <w:num w:numId="14">
    <w:abstractNumId w:val="32"/>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39"/>
  </w:num>
  <w:num w:numId="24">
    <w:abstractNumId w:val="18"/>
  </w:num>
  <w:num w:numId="25">
    <w:abstractNumId w:val="0"/>
  </w:num>
  <w:num w:numId="26">
    <w:abstractNumId w:val="33"/>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30"/>
  </w:num>
  <w:num w:numId="35">
    <w:abstractNumId w:val="2"/>
  </w:num>
  <w:num w:numId="36">
    <w:abstractNumId w:val="29"/>
  </w:num>
  <w:num w:numId="37">
    <w:abstractNumId w:val="35"/>
  </w:num>
  <w:num w:numId="38">
    <w:abstractNumId w:val="34"/>
  </w:num>
  <w:num w:numId="39">
    <w:abstractNumId w:val="26"/>
  </w:num>
  <w:num w:numId="40">
    <w:abstractNumId w:val="41"/>
  </w:num>
  <w:num w:numId="41">
    <w:abstractNumId w:val="3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659A"/>
    <w:rsid w:val="00011D32"/>
    <w:rsid w:val="00013A61"/>
    <w:rsid w:val="0001615F"/>
    <w:rsid w:val="0001775A"/>
    <w:rsid w:val="00017A76"/>
    <w:rsid w:val="00020B73"/>
    <w:rsid w:val="000217F1"/>
    <w:rsid w:val="00022017"/>
    <w:rsid w:val="000221DC"/>
    <w:rsid w:val="00030969"/>
    <w:rsid w:val="00034929"/>
    <w:rsid w:val="00035A23"/>
    <w:rsid w:val="00040D7A"/>
    <w:rsid w:val="0004219D"/>
    <w:rsid w:val="000435C1"/>
    <w:rsid w:val="000440CF"/>
    <w:rsid w:val="00044556"/>
    <w:rsid w:val="00046403"/>
    <w:rsid w:val="00050816"/>
    <w:rsid w:val="00054F32"/>
    <w:rsid w:val="0006263B"/>
    <w:rsid w:val="000635B4"/>
    <w:rsid w:val="000645C0"/>
    <w:rsid w:val="00064BED"/>
    <w:rsid w:val="0007298B"/>
    <w:rsid w:val="00075673"/>
    <w:rsid w:val="0008169A"/>
    <w:rsid w:val="00085B81"/>
    <w:rsid w:val="00086212"/>
    <w:rsid w:val="000965C0"/>
    <w:rsid w:val="00096EA8"/>
    <w:rsid w:val="000972A8"/>
    <w:rsid w:val="000A19CC"/>
    <w:rsid w:val="000A4776"/>
    <w:rsid w:val="000A67FF"/>
    <w:rsid w:val="000B0B78"/>
    <w:rsid w:val="000B12BA"/>
    <w:rsid w:val="000C7071"/>
    <w:rsid w:val="000D0AA8"/>
    <w:rsid w:val="000D1255"/>
    <w:rsid w:val="000D187D"/>
    <w:rsid w:val="000D633F"/>
    <w:rsid w:val="000E34FC"/>
    <w:rsid w:val="000E5CE9"/>
    <w:rsid w:val="000F103D"/>
    <w:rsid w:val="001010FA"/>
    <w:rsid w:val="00103591"/>
    <w:rsid w:val="00111EB2"/>
    <w:rsid w:val="00115B4F"/>
    <w:rsid w:val="00116FFA"/>
    <w:rsid w:val="00126225"/>
    <w:rsid w:val="00130A80"/>
    <w:rsid w:val="001526E6"/>
    <w:rsid w:val="0015481E"/>
    <w:rsid w:val="001561AA"/>
    <w:rsid w:val="00157820"/>
    <w:rsid w:val="00164810"/>
    <w:rsid w:val="00167D8A"/>
    <w:rsid w:val="00173252"/>
    <w:rsid w:val="00180F99"/>
    <w:rsid w:val="00183914"/>
    <w:rsid w:val="00183C06"/>
    <w:rsid w:val="00185DB5"/>
    <w:rsid w:val="00195137"/>
    <w:rsid w:val="001A1DE9"/>
    <w:rsid w:val="001A260F"/>
    <w:rsid w:val="001A2C98"/>
    <w:rsid w:val="001A3FBE"/>
    <w:rsid w:val="001A451E"/>
    <w:rsid w:val="001A794C"/>
    <w:rsid w:val="001B6C23"/>
    <w:rsid w:val="001C08E0"/>
    <w:rsid w:val="001C39FE"/>
    <w:rsid w:val="001C40AA"/>
    <w:rsid w:val="001D3AC8"/>
    <w:rsid w:val="001D5342"/>
    <w:rsid w:val="001E2031"/>
    <w:rsid w:val="001E2C52"/>
    <w:rsid w:val="001F2C70"/>
    <w:rsid w:val="001F435E"/>
    <w:rsid w:val="001F49CE"/>
    <w:rsid w:val="00206422"/>
    <w:rsid w:val="00214EE0"/>
    <w:rsid w:val="00217198"/>
    <w:rsid w:val="00224E94"/>
    <w:rsid w:val="00231488"/>
    <w:rsid w:val="002316B1"/>
    <w:rsid w:val="00233F89"/>
    <w:rsid w:val="0023441F"/>
    <w:rsid w:val="00244991"/>
    <w:rsid w:val="0024638B"/>
    <w:rsid w:val="00250DB7"/>
    <w:rsid w:val="00255756"/>
    <w:rsid w:val="002569CC"/>
    <w:rsid w:val="00262795"/>
    <w:rsid w:val="002704A6"/>
    <w:rsid w:val="00270835"/>
    <w:rsid w:val="0027170F"/>
    <w:rsid w:val="00272DD5"/>
    <w:rsid w:val="00274F5D"/>
    <w:rsid w:val="002844A3"/>
    <w:rsid w:val="00286AA9"/>
    <w:rsid w:val="00291F79"/>
    <w:rsid w:val="0029239B"/>
    <w:rsid w:val="00292658"/>
    <w:rsid w:val="002A2F31"/>
    <w:rsid w:val="002A39D0"/>
    <w:rsid w:val="002A3FCD"/>
    <w:rsid w:val="002A7C58"/>
    <w:rsid w:val="002B4E8D"/>
    <w:rsid w:val="002B4F3B"/>
    <w:rsid w:val="002B554F"/>
    <w:rsid w:val="002B5E30"/>
    <w:rsid w:val="002B706B"/>
    <w:rsid w:val="002C3601"/>
    <w:rsid w:val="002C3D95"/>
    <w:rsid w:val="002C6DFA"/>
    <w:rsid w:val="002D135B"/>
    <w:rsid w:val="002D17DF"/>
    <w:rsid w:val="002D41D6"/>
    <w:rsid w:val="002E1115"/>
    <w:rsid w:val="002E3F73"/>
    <w:rsid w:val="002E76B0"/>
    <w:rsid w:val="003030CF"/>
    <w:rsid w:val="003115BB"/>
    <w:rsid w:val="00312509"/>
    <w:rsid w:val="00324197"/>
    <w:rsid w:val="00324AF0"/>
    <w:rsid w:val="0032747A"/>
    <w:rsid w:val="00335CC9"/>
    <w:rsid w:val="003363AE"/>
    <w:rsid w:val="00336A14"/>
    <w:rsid w:val="00340E1D"/>
    <w:rsid w:val="0035009B"/>
    <w:rsid w:val="00357F74"/>
    <w:rsid w:val="00371BFF"/>
    <w:rsid w:val="003722C0"/>
    <w:rsid w:val="00377B16"/>
    <w:rsid w:val="00383ACD"/>
    <w:rsid w:val="00384858"/>
    <w:rsid w:val="00395CFB"/>
    <w:rsid w:val="00395FD4"/>
    <w:rsid w:val="00397439"/>
    <w:rsid w:val="003A44CE"/>
    <w:rsid w:val="003B6932"/>
    <w:rsid w:val="003B752F"/>
    <w:rsid w:val="003C11F5"/>
    <w:rsid w:val="003E2C5D"/>
    <w:rsid w:val="003F2653"/>
    <w:rsid w:val="003F33A2"/>
    <w:rsid w:val="003F66E0"/>
    <w:rsid w:val="004021DD"/>
    <w:rsid w:val="0040436C"/>
    <w:rsid w:val="00411330"/>
    <w:rsid w:val="00413F8B"/>
    <w:rsid w:val="004164E1"/>
    <w:rsid w:val="0042584E"/>
    <w:rsid w:val="00433676"/>
    <w:rsid w:val="00434107"/>
    <w:rsid w:val="00440AD6"/>
    <w:rsid w:val="00440B96"/>
    <w:rsid w:val="004411E0"/>
    <w:rsid w:val="004428DE"/>
    <w:rsid w:val="004542E0"/>
    <w:rsid w:val="00466BEF"/>
    <w:rsid w:val="00473FE1"/>
    <w:rsid w:val="00475306"/>
    <w:rsid w:val="00486F78"/>
    <w:rsid w:val="004966A0"/>
    <w:rsid w:val="004B032B"/>
    <w:rsid w:val="004B11BD"/>
    <w:rsid w:val="004B1851"/>
    <w:rsid w:val="004B7434"/>
    <w:rsid w:val="004C0C54"/>
    <w:rsid w:val="004C14D7"/>
    <w:rsid w:val="004D14B6"/>
    <w:rsid w:val="004D2563"/>
    <w:rsid w:val="004D5BFB"/>
    <w:rsid w:val="004D6208"/>
    <w:rsid w:val="004E2FA2"/>
    <w:rsid w:val="004F2E9B"/>
    <w:rsid w:val="004F4DAD"/>
    <w:rsid w:val="004F6226"/>
    <w:rsid w:val="00510A43"/>
    <w:rsid w:val="00511165"/>
    <w:rsid w:val="00517497"/>
    <w:rsid w:val="00522ED7"/>
    <w:rsid w:val="005241A2"/>
    <w:rsid w:val="00541F6C"/>
    <w:rsid w:val="00544416"/>
    <w:rsid w:val="005519D0"/>
    <w:rsid w:val="00551B94"/>
    <w:rsid w:val="005534B5"/>
    <w:rsid w:val="00555ECD"/>
    <w:rsid w:val="00557BAD"/>
    <w:rsid w:val="005610D9"/>
    <w:rsid w:val="00562C5F"/>
    <w:rsid w:val="00564DAB"/>
    <w:rsid w:val="00571D27"/>
    <w:rsid w:val="00575F95"/>
    <w:rsid w:val="00580327"/>
    <w:rsid w:val="00580A9C"/>
    <w:rsid w:val="00584436"/>
    <w:rsid w:val="00592AAE"/>
    <w:rsid w:val="00596414"/>
    <w:rsid w:val="005A213B"/>
    <w:rsid w:val="005B03AA"/>
    <w:rsid w:val="005B7C32"/>
    <w:rsid w:val="005C2501"/>
    <w:rsid w:val="005C523C"/>
    <w:rsid w:val="005C5304"/>
    <w:rsid w:val="005D05AF"/>
    <w:rsid w:val="005D34DB"/>
    <w:rsid w:val="005D730F"/>
    <w:rsid w:val="005E066D"/>
    <w:rsid w:val="005E66F5"/>
    <w:rsid w:val="005F25A8"/>
    <w:rsid w:val="005F6FD6"/>
    <w:rsid w:val="00604B2B"/>
    <w:rsid w:val="0061277B"/>
    <w:rsid w:val="00616517"/>
    <w:rsid w:val="00616830"/>
    <w:rsid w:val="00622CF9"/>
    <w:rsid w:val="00624542"/>
    <w:rsid w:val="00625B9F"/>
    <w:rsid w:val="006427A9"/>
    <w:rsid w:val="00643A15"/>
    <w:rsid w:val="00643C14"/>
    <w:rsid w:val="00653111"/>
    <w:rsid w:val="0065738E"/>
    <w:rsid w:val="00663967"/>
    <w:rsid w:val="0067273A"/>
    <w:rsid w:val="00682C6B"/>
    <w:rsid w:val="00694198"/>
    <w:rsid w:val="0069566E"/>
    <w:rsid w:val="006B1383"/>
    <w:rsid w:val="006C0A94"/>
    <w:rsid w:val="006C37DA"/>
    <w:rsid w:val="006E0489"/>
    <w:rsid w:val="006E56DB"/>
    <w:rsid w:val="006F1FCB"/>
    <w:rsid w:val="006F5E7C"/>
    <w:rsid w:val="007173FB"/>
    <w:rsid w:val="007206EF"/>
    <w:rsid w:val="00722BDF"/>
    <w:rsid w:val="00726339"/>
    <w:rsid w:val="00730D6E"/>
    <w:rsid w:val="00732517"/>
    <w:rsid w:val="0074392B"/>
    <w:rsid w:val="00746752"/>
    <w:rsid w:val="00747004"/>
    <w:rsid w:val="00751561"/>
    <w:rsid w:val="00766ED5"/>
    <w:rsid w:val="00772221"/>
    <w:rsid w:val="00772244"/>
    <w:rsid w:val="00772842"/>
    <w:rsid w:val="00773472"/>
    <w:rsid w:val="00774148"/>
    <w:rsid w:val="00784110"/>
    <w:rsid w:val="0079254D"/>
    <w:rsid w:val="00796CB9"/>
    <w:rsid w:val="007A421E"/>
    <w:rsid w:val="007A71B7"/>
    <w:rsid w:val="007A773B"/>
    <w:rsid w:val="007B18DF"/>
    <w:rsid w:val="007B2282"/>
    <w:rsid w:val="007B5BB0"/>
    <w:rsid w:val="007B6E35"/>
    <w:rsid w:val="007C0ED1"/>
    <w:rsid w:val="007C11A4"/>
    <w:rsid w:val="007C11D9"/>
    <w:rsid w:val="007D68EC"/>
    <w:rsid w:val="007E3C1F"/>
    <w:rsid w:val="007E446D"/>
    <w:rsid w:val="007F3C65"/>
    <w:rsid w:val="00800EE5"/>
    <w:rsid w:val="00807EEB"/>
    <w:rsid w:val="008105D3"/>
    <w:rsid w:val="00814C0B"/>
    <w:rsid w:val="00817B92"/>
    <w:rsid w:val="00820CAA"/>
    <w:rsid w:val="00821798"/>
    <w:rsid w:val="0082377F"/>
    <w:rsid w:val="00825177"/>
    <w:rsid w:val="008252BF"/>
    <w:rsid w:val="00825FDC"/>
    <w:rsid w:val="00830D2C"/>
    <w:rsid w:val="0085280F"/>
    <w:rsid w:val="00860520"/>
    <w:rsid w:val="0086162F"/>
    <w:rsid w:val="00861BB5"/>
    <w:rsid w:val="00872AC3"/>
    <w:rsid w:val="00876E38"/>
    <w:rsid w:val="00881192"/>
    <w:rsid w:val="008837FE"/>
    <w:rsid w:val="00883C80"/>
    <w:rsid w:val="00885640"/>
    <w:rsid w:val="008A3F4E"/>
    <w:rsid w:val="008A53F4"/>
    <w:rsid w:val="008A7F99"/>
    <w:rsid w:val="008B0E92"/>
    <w:rsid w:val="008B377D"/>
    <w:rsid w:val="008B6769"/>
    <w:rsid w:val="008C2FF2"/>
    <w:rsid w:val="008C5F82"/>
    <w:rsid w:val="008D7776"/>
    <w:rsid w:val="008D7C19"/>
    <w:rsid w:val="008D7DE0"/>
    <w:rsid w:val="008E16A2"/>
    <w:rsid w:val="008E19DE"/>
    <w:rsid w:val="008E2C06"/>
    <w:rsid w:val="008E648C"/>
    <w:rsid w:val="008F09D6"/>
    <w:rsid w:val="008F26F4"/>
    <w:rsid w:val="008F2898"/>
    <w:rsid w:val="008F4C97"/>
    <w:rsid w:val="008F7005"/>
    <w:rsid w:val="00907CBD"/>
    <w:rsid w:val="00907F46"/>
    <w:rsid w:val="009148BA"/>
    <w:rsid w:val="009167B3"/>
    <w:rsid w:val="009178C8"/>
    <w:rsid w:val="00933C3E"/>
    <w:rsid w:val="009428BA"/>
    <w:rsid w:val="009465FC"/>
    <w:rsid w:val="00950357"/>
    <w:rsid w:val="0096231D"/>
    <w:rsid w:val="00965E6B"/>
    <w:rsid w:val="00970C3A"/>
    <w:rsid w:val="009730CC"/>
    <w:rsid w:val="00975453"/>
    <w:rsid w:val="009830AF"/>
    <w:rsid w:val="00984ECE"/>
    <w:rsid w:val="00985131"/>
    <w:rsid w:val="00991AE5"/>
    <w:rsid w:val="009937AE"/>
    <w:rsid w:val="0099544E"/>
    <w:rsid w:val="00995C0F"/>
    <w:rsid w:val="00996B32"/>
    <w:rsid w:val="00997D8F"/>
    <w:rsid w:val="009A10A8"/>
    <w:rsid w:val="009A1EEC"/>
    <w:rsid w:val="009A2EB2"/>
    <w:rsid w:val="009B4F93"/>
    <w:rsid w:val="009C0C6E"/>
    <w:rsid w:val="009C4B4E"/>
    <w:rsid w:val="009C7074"/>
    <w:rsid w:val="009C7FF4"/>
    <w:rsid w:val="009D1510"/>
    <w:rsid w:val="009E2AD8"/>
    <w:rsid w:val="009E5419"/>
    <w:rsid w:val="009E5554"/>
    <w:rsid w:val="009E6046"/>
    <w:rsid w:val="009E738B"/>
    <w:rsid w:val="009E783F"/>
    <w:rsid w:val="009F1633"/>
    <w:rsid w:val="009F4FD0"/>
    <w:rsid w:val="009F73C4"/>
    <w:rsid w:val="00A07CCC"/>
    <w:rsid w:val="00A1097A"/>
    <w:rsid w:val="00A13E09"/>
    <w:rsid w:val="00A26546"/>
    <w:rsid w:val="00A2799E"/>
    <w:rsid w:val="00A27A33"/>
    <w:rsid w:val="00A35604"/>
    <w:rsid w:val="00A37797"/>
    <w:rsid w:val="00A37C53"/>
    <w:rsid w:val="00A47638"/>
    <w:rsid w:val="00A47C0D"/>
    <w:rsid w:val="00A50F04"/>
    <w:rsid w:val="00A5563E"/>
    <w:rsid w:val="00A6148E"/>
    <w:rsid w:val="00A6154A"/>
    <w:rsid w:val="00A623CD"/>
    <w:rsid w:val="00A728A8"/>
    <w:rsid w:val="00A807FC"/>
    <w:rsid w:val="00A85640"/>
    <w:rsid w:val="00A87DEA"/>
    <w:rsid w:val="00AA1296"/>
    <w:rsid w:val="00AA5E32"/>
    <w:rsid w:val="00AB06C0"/>
    <w:rsid w:val="00AB0C54"/>
    <w:rsid w:val="00AB2D63"/>
    <w:rsid w:val="00AC08A0"/>
    <w:rsid w:val="00AC24B8"/>
    <w:rsid w:val="00AC5575"/>
    <w:rsid w:val="00AC74FD"/>
    <w:rsid w:val="00AC7EF0"/>
    <w:rsid w:val="00AD030F"/>
    <w:rsid w:val="00AD4C84"/>
    <w:rsid w:val="00AE356A"/>
    <w:rsid w:val="00AE365F"/>
    <w:rsid w:val="00AE3D2D"/>
    <w:rsid w:val="00AE596A"/>
    <w:rsid w:val="00AE5DE3"/>
    <w:rsid w:val="00AF0657"/>
    <w:rsid w:val="00AF0E27"/>
    <w:rsid w:val="00AF1D5F"/>
    <w:rsid w:val="00B03018"/>
    <w:rsid w:val="00B055D3"/>
    <w:rsid w:val="00B142DB"/>
    <w:rsid w:val="00B17B31"/>
    <w:rsid w:val="00B21869"/>
    <w:rsid w:val="00B242E3"/>
    <w:rsid w:val="00B30254"/>
    <w:rsid w:val="00B33870"/>
    <w:rsid w:val="00B34CC2"/>
    <w:rsid w:val="00B35589"/>
    <w:rsid w:val="00B375CC"/>
    <w:rsid w:val="00B411FA"/>
    <w:rsid w:val="00B46E10"/>
    <w:rsid w:val="00B47170"/>
    <w:rsid w:val="00B47E17"/>
    <w:rsid w:val="00B50AD6"/>
    <w:rsid w:val="00B50ADD"/>
    <w:rsid w:val="00B51165"/>
    <w:rsid w:val="00B5252F"/>
    <w:rsid w:val="00B53312"/>
    <w:rsid w:val="00B549BB"/>
    <w:rsid w:val="00B63B53"/>
    <w:rsid w:val="00B65F37"/>
    <w:rsid w:val="00B662D2"/>
    <w:rsid w:val="00B84466"/>
    <w:rsid w:val="00B84638"/>
    <w:rsid w:val="00B91393"/>
    <w:rsid w:val="00B91D61"/>
    <w:rsid w:val="00B93DDD"/>
    <w:rsid w:val="00B969B5"/>
    <w:rsid w:val="00BA52BF"/>
    <w:rsid w:val="00BA7BA6"/>
    <w:rsid w:val="00BB0285"/>
    <w:rsid w:val="00BB4E97"/>
    <w:rsid w:val="00BB78E6"/>
    <w:rsid w:val="00BC793A"/>
    <w:rsid w:val="00BD01C4"/>
    <w:rsid w:val="00BD2A4C"/>
    <w:rsid w:val="00BD4894"/>
    <w:rsid w:val="00BE4714"/>
    <w:rsid w:val="00BE60BB"/>
    <w:rsid w:val="00BE69F3"/>
    <w:rsid w:val="00BE74D8"/>
    <w:rsid w:val="00BF1664"/>
    <w:rsid w:val="00BF1C9D"/>
    <w:rsid w:val="00BF3E01"/>
    <w:rsid w:val="00BF3F7C"/>
    <w:rsid w:val="00BF473A"/>
    <w:rsid w:val="00BF7C9C"/>
    <w:rsid w:val="00C077A7"/>
    <w:rsid w:val="00C15462"/>
    <w:rsid w:val="00C155FF"/>
    <w:rsid w:val="00C24841"/>
    <w:rsid w:val="00C24FD8"/>
    <w:rsid w:val="00C30E65"/>
    <w:rsid w:val="00C33807"/>
    <w:rsid w:val="00C33FDA"/>
    <w:rsid w:val="00C341BD"/>
    <w:rsid w:val="00C34660"/>
    <w:rsid w:val="00C372B1"/>
    <w:rsid w:val="00C42A2E"/>
    <w:rsid w:val="00C4419F"/>
    <w:rsid w:val="00C4656D"/>
    <w:rsid w:val="00C52F1B"/>
    <w:rsid w:val="00C55AED"/>
    <w:rsid w:val="00C56B5E"/>
    <w:rsid w:val="00C6338E"/>
    <w:rsid w:val="00C63C9D"/>
    <w:rsid w:val="00C64684"/>
    <w:rsid w:val="00C66968"/>
    <w:rsid w:val="00C70D55"/>
    <w:rsid w:val="00C82DAC"/>
    <w:rsid w:val="00C95549"/>
    <w:rsid w:val="00CA2289"/>
    <w:rsid w:val="00CA3B03"/>
    <w:rsid w:val="00CA58FD"/>
    <w:rsid w:val="00CA5901"/>
    <w:rsid w:val="00CB236F"/>
    <w:rsid w:val="00CB5068"/>
    <w:rsid w:val="00CC6F89"/>
    <w:rsid w:val="00CD16ED"/>
    <w:rsid w:val="00CD2987"/>
    <w:rsid w:val="00CD3C72"/>
    <w:rsid w:val="00CD4FD8"/>
    <w:rsid w:val="00CD6B75"/>
    <w:rsid w:val="00CD6EBC"/>
    <w:rsid w:val="00CE253C"/>
    <w:rsid w:val="00CE4C3B"/>
    <w:rsid w:val="00CE591A"/>
    <w:rsid w:val="00CF01EA"/>
    <w:rsid w:val="00CF6F48"/>
    <w:rsid w:val="00CF7DC2"/>
    <w:rsid w:val="00D0156B"/>
    <w:rsid w:val="00D02EEB"/>
    <w:rsid w:val="00D04164"/>
    <w:rsid w:val="00D07B3C"/>
    <w:rsid w:val="00D12204"/>
    <w:rsid w:val="00D1580B"/>
    <w:rsid w:val="00D17F6D"/>
    <w:rsid w:val="00D21DA1"/>
    <w:rsid w:val="00D227F3"/>
    <w:rsid w:val="00D2296C"/>
    <w:rsid w:val="00D267B0"/>
    <w:rsid w:val="00D345F2"/>
    <w:rsid w:val="00D34678"/>
    <w:rsid w:val="00D404FC"/>
    <w:rsid w:val="00D44E13"/>
    <w:rsid w:val="00D536BB"/>
    <w:rsid w:val="00D55B57"/>
    <w:rsid w:val="00D618E1"/>
    <w:rsid w:val="00D61FD3"/>
    <w:rsid w:val="00D631DC"/>
    <w:rsid w:val="00D63433"/>
    <w:rsid w:val="00D654CA"/>
    <w:rsid w:val="00D66DF4"/>
    <w:rsid w:val="00D729E9"/>
    <w:rsid w:val="00D739D9"/>
    <w:rsid w:val="00D76EAE"/>
    <w:rsid w:val="00D8570F"/>
    <w:rsid w:val="00D87B33"/>
    <w:rsid w:val="00DA03F2"/>
    <w:rsid w:val="00DA6A4E"/>
    <w:rsid w:val="00DA743F"/>
    <w:rsid w:val="00DB31BF"/>
    <w:rsid w:val="00DB33C6"/>
    <w:rsid w:val="00DB4DBA"/>
    <w:rsid w:val="00DB613C"/>
    <w:rsid w:val="00DB6CB6"/>
    <w:rsid w:val="00DB7036"/>
    <w:rsid w:val="00DB724B"/>
    <w:rsid w:val="00DD3029"/>
    <w:rsid w:val="00DD4894"/>
    <w:rsid w:val="00DE007D"/>
    <w:rsid w:val="00DE3EE0"/>
    <w:rsid w:val="00DE5DF6"/>
    <w:rsid w:val="00DF5C45"/>
    <w:rsid w:val="00E01BA7"/>
    <w:rsid w:val="00E069EB"/>
    <w:rsid w:val="00E06AD6"/>
    <w:rsid w:val="00E078D1"/>
    <w:rsid w:val="00E07D7A"/>
    <w:rsid w:val="00E1129D"/>
    <w:rsid w:val="00E1309A"/>
    <w:rsid w:val="00E14E73"/>
    <w:rsid w:val="00E2551B"/>
    <w:rsid w:val="00E30F06"/>
    <w:rsid w:val="00E33156"/>
    <w:rsid w:val="00E338EF"/>
    <w:rsid w:val="00E40892"/>
    <w:rsid w:val="00E46C8F"/>
    <w:rsid w:val="00E53E55"/>
    <w:rsid w:val="00E5442D"/>
    <w:rsid w:val="00E6321D"/>
    <w:rsid w:val="00E63B4F"/>
    <w:rsid w:val="00E64235"/>
    <w:rsid w:val="00E64EAD"/>
    <w:rsid w:val="00E71DA0"/>
    <w:rsid w:val="00E74D38"/>
    <w:rsid w:val="00E80B24"/>
    <w:rsid w:val="00E81D22"/>
    <w:rsid w:val="00E848B3"/>
    <w:rsid w:val="00E8545C"/>
    <w:rsid w:val="00E95544"/>
    <w:rsid w:val="00E96F35"/>
    <w:rsid w:val="00EB2699"/>
    <w:rsid w:val="00EC0363"/>
    <w:rsid w:val="00EC15F0"/>
    <w:rsid w:val="00EC1D2D"/>
    <w:rsid w:val="00EC51CB"/>
    <w:rsid w:val="00EC6F61"/>
    <w:rsid w:val="00EC7638"/>
    <w:rsid w:val="00ED2013"/>
    <w:rsid w:val="00ED3B64"/>
    <w:rsid w:val="00ED3FE2"/>
    <w:rsid w:val="00EF0384"/>
    <w:rsid w:val="00EF133B"/>
    <w:rsid w:val="00EF137F"/>
    <w:rsid w:val="00EF7A41"/>
    <w:rsid w:val="00F00101"/>
    <w:rsid w:val="00F07E0B"/>
    <w:rsid w:val="00F07EFF"/>
    <w:rsid w:val="00F114A1"/>
    <w:rsid w:val="00F14799"/>
    <w:rsid w:val="00F15CBC"/>
    <w:rsid w:val="00F20188"/>
    <w:rsid w:val="00F25C41"/>
    <w:rsid w:val="00F34BE7"/>
    <w:rsid w:val="00F429BA"/>
    <w:rsid w:val="00F46C74"/>
    <w:rsid w:val="00F502B6"/>
    <w:rsid w:val="00F5659A"/>
    <w:rsid w:val="00F62F36"/>
    <w:rsid w:val="00F65021"/>
    <w:rsid w:val="00F65527"/>
    <w:rsid w:val="00F7112F"/>
    <w:rsid w:val="00F75E5F"/>
    <w:rsid w:val="00F77566"/>
    <w:rsid w:val="00F87EAC"/>
    <w:rsid w:val="00F90130"/>
    <w:rsid w:val="00F91658"/>
    <w:rsid w:val="00F95EC3"/>
    <w:rsid w:val="00FA0D2A"/>
    <w:rsid w:val="00FA20F2"/>
    <w:rsid w:val="00FA44E5"/>
    <w:rsid w:val="00FC1981"/>
    <w:rsid w:val="00FC63E0"/>
    <w:rsid w:val="00FC6C4D"/>
    <w:rsid w:val="00FD294F"/>
    <w:rsid w:val="00FD4E37"/>
    <w:rsid w:val="00FD4EE9"/>
    <w:rsid w:val="00FE22C2"/>
    <w:rsid w:val="00FE2E38"/>
    <w:rsid w:val="00FE313E"/>
    <w:rsid w:val="00FE7BCC"/>
    <w:rsid w:val="00FF3A39"/>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A8"/>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9178C8"/>
    <w:rPr>
      <w:rFonts w:ascii="Cambria" w:hAnsi="Cambria" w:cs="Times New Roman"/>
      <w:b/>
      <w:bCs/>
      <w:i/>
      <w:iCs/>
      <w:sz w:val="28"/>
      <w:szCs w:val="28"/>
      <w:lang w:val="nl-NL" w:eastAsia="nl-NL"/>
    </w:rPr>
  </w:style>
  <w:style w:type="character" w:customStyle="1" w:styleId="Heading3Char">
    <w:name w:val="Heading 3 Char"/>
    <w:link w:val="Heading3"/>
    <w:uiPriority w:val="99"/>
    <w:semiHidden/>
    <w:locked/>
    <w:rsid w:val="009178C8"/>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link w:val="BalloonText"/>
    <w:uiPriority w:val="99"/>
    <w:semiHidden/>
    <w:locked/>
    <w:rsid w:val="009178C8"/>
    <w:rPr>
      <w:rFonts w:cs="Times New Roman"/>
      <w:sz w:val="2"/>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link w:val="JuPara"/>
    <w:uiPriority w:val="99"/>
    <w:locked/>
    <w:rsid w:val="004F6226"/>
    <w:rPr>
      <w:rFonts w:cs="Times New Roman"/>
      <w:sz w:val="24"/>
      <w:lang w:val="en-GB" w:eastAsia="fr-FR" w:bidi="ar-SA"/>
    </w:rPr>
  </w:style>
  <w:style w:type="character" w:customStyle="1" w:styleId="ju-005fpara--char">
    <w:name w:val="ju-005fpara--char"/>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link w:val="FootnoteText"/>
    <w:uiPriority w:val="99"/>
    <w:semiHidden/>
    <w:locked/>
    <w:rsid w:val="009178C8"/>
    <w:rPr>
      <w:rFonts w:cs="Times New Roman"/>
      <w:sz w:val="20"/>
      <w:szCs w:val="20"/>
      <w:lang w:val="nl-NL" w:eastAsia="nl-NL"/>
    </w:rPr>
  </w:style>
  <w:style w:type="character" w:styleId="FootnoteReference">
    <w:name w:val="footnote reference"/>
    <w:uiPriority w:val="99"/>
    <w:semiHidden/>
    <w:rsid w:val="00B93DDD"/>
    <w:rPr>
      <w:rFonts w:cs="Times New Roman"/>
      <w:vertAlign w:val="superscript"/>
    </w:rPr>
  </w:style>
  <w:style w:type="paragraph" w:customStyle="1" w:styleId="normal0">
    <w:name w:val="normal"/>
    <w:basedOn w:val="Normal"/>
    <w:uiPriority w:val="99"/>
    <w:rsid w:val="005E066D"/>
    <w:pPr>
      <w:spacing w:before="100" w:beforeAutospacing="1" w:after="100" w:afterAutospacing="1"/>
    </w:pPr>
    <w:rPr>
      <w:lang w:val="en-US" w:eastAsia="en-US"/>
    </w:rPr>
  </w:style>
  <w:style w:type="character" w:customStyle="1" w:styleId="ju--005fpara----char--char">
    <w:name w:val="ju--005fpara----char--char"/>
    <w:uiPriority w:val="99"/>
    <w:rsid w:val="005F6FD6"/>
    <w:rPr>
      <w:rFonts w:cs="Times New Roman"/>
    </w:rPr>
  </w:style>
  <w:style w:type="character" w:customStyle="1" w:styleId="JuParaChar2">
    <w:name w:val="Ju_Para Char2"/>
    <w:uiPriority w:val="99"/>
    <w:rsid w:val="00EC0363"/>
    <w:rPr>
      <w:rFonts w:cs="Times New Roman"/>
      <w:sz w:val="24"/>
      <w:lang w:val="en-GB" w:eastAsia="fr-FR" w:bidi="ar-SA"/>
    </w:rPr>
  </w:style>
  <w:style w:type="character" w:customStyle="1" w:styleId="JuParaChar">
    <w:name w:val="Ju_Para Char"/>
    <w:uiPriority w:val="99"/>
    <w:rsid w:val="008E19DE"/>
    <w:rPr>
      <w:rFonts w:cs="Times New Roman"/>
      <w:sz w:val="24"/>
      <w:lang w:val="en-GB" w:eastAsia="fr-FR" w:bidi="ar-SA"/>
    </w:rPr>
  </w:style>
  <w:style w:type="character" w:customStyle="1" w:styleId="ju-005fpara-0020char--char">
    <w:name w:val="ju-005fpara-0020char--char"/>
    <w:uiPriority w:val="99"/>
    <w:rsid w:val="008E19DE"/>
    <w:rPr>
      <w:rFonts w:cs="Times New Roman"/>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link w:val="Header"/>
    <w:uiPriority w:val="99"/>
    <w:semiHidden/>
    <w:locked/>
    <w:rsid w:val="009178C8"/>
    <w:rPr>
      <w:rFonts w:cs="Times New Roman"/>
      <w:sz w:val="24"/>
      <w:szCs w:val="24"/>
      <w:lang w:val="nl-NL" w:eastAsia="nl-NL"/>
    </w:rPr>
  </w:style>
  <w:style w:type="character" w:styleId="PageNumber">
    <w:name w:val="page number"/>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link w:val="Footer"/>
    <w:uiPriority w:val="99"/>
    <w:semiHidden/>
    <w:locked/>
    <w:rsid w:val="009178C8"/>
    <w:rPr>
      <w:rFonts w:cs="Times New Roman"/>
      <w:sz w:val="24"/>
      <w:szCs w:val="24"/>
      <w:lang w:val="nl-NL" w:eastAsia="nl-NL"/>
    </w:rPr>
  </w:style>
  <w:style w:type="character" w:styleId="Hyperlink">
    <w:name w:val="Hyperlink"/>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link w:val="CommentText"/>
    <w:uiPriority w:val="99"/>
    <w:semiHidden/>
    <w:locked/>
    <w:rsid w:val="009178C8"/>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link w:val="CommentSubject"/>
    <w:uiPriority w:val="99"/>
    <w:semiHidden/>
    <w:locked/>
    <w:rsid w:val="009178C8"/>
    <w:rPr>
      <w:rFonts w:cs="Times New Roman"/>
      <w:b/>
      <w:bCs/>
      <w:sz w:val="20"/>
      <w:szCs w:val="20"/>
      <w:lang w:val="nl-NL" w:eastAsia="nl-NL"/>
    </w:rPr>
  </w:style>
  <w:style w:type="paragraph" w:styleId="ListParagraph">
    <w:name w:val="List Paragraph"/>
    <w:basedOn w:val="Normal"/>
    <w:uiPriority w:val="99"/>
    <w:qFormat/>
    <w:rsid w:val="00064BED"/>
    <w:pPr>
      <w:ind w:left="720"/>
    </w:pPr>
    <w:rPr>
      <w:lang w:val="en-GB" w:eastAsia="en-GB"/>
    </w:rPr>
  </w:style>
  <w:style w:type="paragraph" w:styleId="EndnoteText">
    <w:name w:val="endnote text"/>
    <w:basedOn w:val="Normal"/>
    <w:link w:val="EndnoteTextChar"/>
    <w:uiPriority w:val="99"/>
    <w:semiHidden/>
    <w:rsid w:val="00694198"/>
    <w:rPr>
      <w:sz w:val="20"/>
      <w:szCs w:val="20"/>
    </w:rPr>
  </w:style>
  <w:style w:type="character" w:customStyle="1" w:styleId="EndnoteTextChar">
    <w:name w:val="Endnote Text Char"/>
    <w:link w:val="EndnoteText"/>
    <w:uiPriority w:val="99"/>
    <w:semiHidden/>
    <w:locked/>
    <w:rsid w:val="00694198"/>
    <w:rPr>
      <w:rFonts w:cs="Times New Roman"/>
      <w:sz w:val="20"/>
      <w:szCs w:val="20"/>
      <w:lang w:val="nl-NL" w:eastAsia="nl-NL"/>
    </w:rPr>
  </w:style>
  <w:style w:type="character" w:styleId="EndnoteReference">
    <w:name w:val="endnote reference"/>
    <w:uiPriority w:val="99"/>
    <w:semiHidden/>
    <w:rsid w:val="0069419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71829146">
      <w:marLeft w:val="0"/>
      <w:marRight w:val="0"/>
      <w:marTop w:val="0"/>
      <w:marBottom w:val="0"/>
      <w:divBdr>
        <w:top w:val="none" w:sz="0" w:space="0" w:color="auto"/>
        <w:left w:val="none" w:sz="0" w:space="0" w:color="auto"/>
        <w:bottom w:val="none" w:sz="0" w:space="0" w:color="auto"/>
        <w:right w:val="none" w:sz="0" w:space="0" w:color="auto"/>
      </w:divBdr>
    </w:div>
    <w:div w:id="1671829147">
      <w:marLeft w:val="0"/>
      <w:marRight w:val="0"/>
      <w:marTop w:val="0"/>
      <w:marBottom w:val="0"/>
      <w:divBdr>
        <w:top w:val="none" w:sz="0" w:space="0" w:color="auto"/>
        <w:left w:val="none" w:sz="0" w:space="0" w:color="auto"/>
        <w:bottom w:val="none" w:sz="0" w:space="0" w:color="auto"/>
        <w:right w:val="none" w:sz="0" w:space="0" w:color="auto"/>
      </w:divBdr>
    </w:div>
    <w:div w:id="1671829148">
      <w:marLeft w:val="0"/>
      <w:marRight w:val="0"/>
      <w:marTop w:val="0"/>
      <w:marBottom w:val="0"/>
      <w:divBdr>
        <w:top w:val="none" w:sz="0" w:space="0" w:color="auto"/>
        <w:left w:val="none" w:sz="0" w:space="0" w:color="auto"/>
        <w:bottom w:val="none" w:sz="0" w:space="0" w:color="auto"/>
        <w:right w:val="none" w:sz="0" w:space="0" w:color="auto"/>
      </w:divBdr>
    </w:div>
    <w:div w:id="1671829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D. Š.</Reference>
    <Case_x0020_Year xmlns="63130c8a-8d1f-4e28-8ee3-43603ca9ef3b">2009</Case_x0020_Year>
    <Case_x0020_Status xmlns="16f2acb5-7363-4076-9084-069fc3bb4325">.</Case_x0020_Status>
    <Date_x0020_of_x0020_Adoption xmlns="16f2acb5-7363-4076-9084-069fc3bb4325">2012-08-22T22:00:00+00:00</Date_x0020_of_x0020_Adoption>
    <Case_x0020_Number xmlns="16f2acb5-7363-4076-9084-069fc3bb4325">244/09</Case_x0020_Number>
    <Type_x0020_of_x0020_Document xmlns="16f2acb5-7363-4076-9084-069fc3bb4325">Decision - Admissible</Type_x0020_of_x0020_Document>
    <_dlc_DocId xmlns="b9fab99d-1571-47f6-8995-3a195ef041f8">M5JDUUKXSQ5W-25-633</_dlc_DocId>
    <_dlc_DocIdUrl xmlns="b9fab99d-1571-47f6-8995-3a195ef041f8">
      <Url>http://www.unmikonline.org/hrap/Eng/_layouts/DocIdRedir.aspx?ID=M5JDUUKXSQ5W-25-633</Url>
      <Description>M5JDUUKXSQ5W-25-633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DF91A-0F5A-403E-BFA5-9A5B75D14215}"/>
</file>

<file path=customXml/itemProps2.xml><?xml version="1.0" encoding="utf-8"?>
<ds:datastoreItem xmlns:ds="http://schemas.openxmlformats.org/officeDocument/2006/customXml" ds:itemID="{83C3A21C-58DA-43D9-85A3-70A171533DB3}"/>
</file>

<file path=customXml/itemProps3.xml><?xml version="1.0" encoding="utf-8"?>
<ds:datastoreItem xmlns:ds="http://schemas.openxmlformats.org/officeDocument/2006/customXml" ds:itemID="{571B179F-BD0E-4C45-A14B-6869F03059DA}"/>
</file>

<file path=customXml/itemProps4.xml><?xml version="1.0" encoding="utf-8"?>
<ds:datastoreItem xmlns:ds="http://schemas.openxmlformats.org/officeDocument/2006/customXml" ds:itemID="{07C1BD98-7A00-4666-A524-86815D32DAAC}"/>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6624</Characters>
  <Application>Microsoft Office Word</Application>
  <DocSecurity>0</DocSecurity>
  <Lines>55</Lines>
  <Paragraphs>15</Paragraphs>
  <ScaleCrop>false</ScaleCrop>
  <HeadingPairs>
    <vt:vector size="6" baseType="variant">
      <vt:variant>
        <vt:lpstr>Title</vt:lpstr>
      </vt:variant>
      <vt:variant>
        <vt:i4>1</vt:i4>
      </vt:variant>
      <vt:variant>
        <vt:lpstr>Tytuł</vt:lpstr>
      </vt:variant>
      <vt:variant>
        <vt:i4>1</vt:i4>
      </vt:variant>
      <vt:variant>
        <vt:lpstr>Nagłówki</vt:lpstr>
      </vt:variant>
      <vt:variant>
        <vt:i4>3</vt:i4>
      </vt:variant>
    </vt:vector>
  </HeadingPairs>
  <TitlesOfParts>
    <vt:vector size="5" baseType="lpstr">
      <vt:lpstr>Case No</vt:lpstr>
      <vt:lpstr>Case No</vt:lpstr>
      <vt:lpstr>III. THE COMPLAINT</vt:lpstr>
      <vt:lpstr>IV. THE LAW</vt:lpstr>
      <vt:lpstr>DECLARES THE COMPLAINT ADMISSIBLE </vt:lpstr>
    </vt:vector>
  </TitlesOfParts>
  <Company>K.U.Leuven</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2012-08-21T10:00:00Z</cp:lastPrinted>
  <dcterms:created xsi:type="dcterms:W3CDTF">2012-10-29T15:32:00Z</dcterms:created>
  <dcterms:modified xsi:type="dcterms:W3CDTF">2012-10-29T15:32:00Z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8aa1b5cb-29cd-4275-923b-da5a0d9dd544</vt:lpwstr>
  </property>
</Properties>
</file>